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A0" w:rsidRDefault="00B852A0" w:rsidP="00E94F82">
      <w:pPr>
        <w:pStyle w:val="Default"/>
        <w:spacing w:after="34"/>
        <w:jc w:val="both"/>
        <w:rPr>
          <w:rFonts w:asciiTheme="minorHAnsi" w:hAnsiTheme="minorHAnsi" w:cs="Arial"/>
          <w:sz w:val="22"/>
          <w:szCs w:val="22"/>
        </w:rPr>
      </w:pPr>
      <w:bookmarkStart w:id="0" w:name="_GoBack"/>
      <w:bookmarkEnd w:id="0"/>
      <w:r w:rsidRPr="00B852A0">
        <w:rPr>
          <w:rFonts w:asciiTheme="minorHAnsi" w:hAnsiTheme="minorHAnsi" w:cs="Arial"/>
          <w:sz w:val="22"/>
          <w:szCs w:val="22"/>
        </w:rPr>
        <w:t xml:space="preserve">The </w:t>
      </w:r>
      <w:r w:rsidRPr="00B852A0">
        <w:rPr>
          <w:rFonts w:asciiTheme="minorHAnsi" w:hAnsiTheme="minorHAnsi" w:cs="Arial"/>
          <w:b/>
          <w:sz w:val="22"/>
          <w:szCs w:val="22"/>
        </w:rPr>
        <w:t xml:space="preserve">MSU </w:t>
      </w:r>
      <w:r>
        <w:rPr>
          <w:rFonts w:asciiTheme="minorHAnsi" w:hAnsiTheme="minorHAnsi" w:cs="Arial"/>
          <w:b/>
          <w:sz w:val="22"/>
          <w:szCs w:val="22"/>
        </w:rPr>
        <w:t>South Campus Flow Cytometry Core</w:t>
      </w:r>
      <w:r w:rsidRPr="00B852A0">
        <w:rPr>
          <w:rFonts w:asciiTheme="minorHAnsi" w:hAnsiTheme="minorHAnsi" w:cs="Arial"/>
          <w:sz w:val="22"/>
          <w:szCs w:val="22"/>
        </w:rPr>
        <w:t xml:space="preserve"> is located </w:t>
      </w:r>
      <w:r>
        <w:rPr>
          <w:rFonts w:asciiTheme="minorHAnsi" w:hAnsiTheme="minorHAnsi" w:cs="Arial"/>
          <w:sz w:val="22"/>
          <w:szCs w:val="22"/>
        </w:rPr>
        <w:t>on the second floor of the IQ Bioengineering Building</w:t>
      </w:r>
      <w:r w:rsidR="00C623CA">
        <w:rPr>
          <w:rFonts w:asciiTheme="minorHAnsi" w:hAnsiTheme="minorHAnsi" w:cs="Arial"/>
          <w:sz w:val="22"/>
          <w:szCs w:val="22"/>
        </w:rPr>
        <w:t xml:space="preserve"> (Rm 2521 and 2522)</w:t>
      </w:r>
      <w:r>
        <w:rPr>
          <w:rFonts w:asciiTheme="minorHAnsi" w:hAnsiTheme="minorHAnsi" w:cs="Arial"/>
          <w:sz w:val="22"/>
          <w:szCs w:val="22"/>
        </w:rPr>
        <w:t xml:space="preserve">. </w:t>
      </w:r>
      <w:r w:rsidR="00C623CA">
        <w:rPr>
          <w:rFonts w:asciiTheme="minorHAnsi" w:hAnsiTheme="minorHAnsi" w:cs="Arial"/>
          <w:sz w:val="22"/>
          <w:szCs w:val="22"/>
        </w:rPr>
        <w:t xml:space="preserve">Laboratory space for the core facility is approximately 300 sq. ft. </w:t>
      </w:r>
      <w:r>
        <w:rPr>
          <w:rFonts w:asciiTheme="minorHAnsi" w:hAnsiTheme="minorHAnsi" w:cs="Arial"/>
          <w:sz w:val="22"/>
          <w:szCs w:val="22"/>
        </w:rPr>
        <w:t>Instrumentation available</w:t>
      </w:r>
      <w:r w:rsidRPr="00B852A0">
        <w:rPr>
          <w:rFonts w:asciiTheme="minorHAnsi" w:hAnsiTheme="minorHAnsi" w:cs="Arial"/>
          <w:sz w:val="22"/>
          <w:szCs w:val="22"/>
        </w:rPr>
        <w:t xml:space="preserve"> include a </w:t>
      </w:r>
      <w:r>
        <w:rPr>
          <w:rFonts w:asciiTheme="minorHAnsi" w:hAnsiTheme="minorHAnsi" w:cs="Arial"/>
          <w:sz w:val="22"/>
          <w:szCs w:val="22"/>
        </w:rPr>
        <w:t xml:space="preserve">BD </w:t>
      </w:r>
      <w:proofErr w:type="spellStart"/>
      <w:r>
        <w:rPr>
          <w:rFonts w:asciiTheme="minorHAnsi" w:hAnsiTheme="minorHAnsi" w:cs="Arial"/>
          <w:sz w:val="22"/>
          <w:szCs w:val="22"/>
        </w:rPr>
        <w:t>FACSAria</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IIu</w:t>
      </w:r>
      <w:proofErr w:type="spellEnd"/>
      <w:r>
        <w:rPr>
          <w:rFonts w:asciiTheme="minorHAnsi" w:hAnsiTheme="minorHAnsi" w:cs="Arial"/>
          <w:sz w:val="22"/>
          <w:szCs w:val="22"/>
        </w:rPr>
        <w:t xml:space="preserve"> cell sorter</w:t>
      </w:r>
      <w:r w:rsidRPr="00B852A0">
        <w:rPr>
          <w:rFonts w:asciiTheme="minorHAnsi" w:hAnsiTheme="minorHAnsi" w:cs="Arial"/>
          <w:sz w:val="22"/>
          <w:szCs w:val="22"/>
        </w:rPr>
        <w:t xml:space="preserve">, </w:t>
      </w:r>
      <w:r w:rsidR="00863509">
        <w:rPr>
          <w:rFonts w:asciiTheme="minorHAnsi" w:hAnsiTheme="minorHAnsi" w:cs="Arial"/>
          <w:sz w:val="22"/>
          <w:szCs w:val="22"/>
        </w:rPr>
        <w:t xml:space="preserve">a </w:t>
      </w:r>
      <w:proofErr w:type="spellStart"/>
      <w:r w:rsidR="00863509">
        <w:rPr>
          <w:rFonts w:asciiTheme="minorHAnsi" w:hAnsiTheme="minorHAnsi" w:cs="Arial"/>
          <w:sz w:val="22"/>
          <w:szCs w:val="22"/>
        </w:rPr>
        <w:t>Cytek</w:t>
      </w:r>
      <w:proofErr w:type="spellEnd"/>
      <w:r w:rsidR="00863509">
        <w:rPr>
          <w:rFonts w:asciiTheme="minorHAnsi" w:hAnsiTheme="minorHAnsi" w:cs="Arial"/>
          <w:sz w:val="22"/>
          <w:szCs w:val="22"/>
        </w:rPr>
        <w:t xml:space="preserve"> Aurora spectral cytometer, </w:t>
      </w:r>
      <w:r w:rsidRPr="00B852A0">
        <w:rPr>
          <w:rFonts w:asciiTheme="minorHAnsi" w:hAnsiTheme="minorHAnsi" w:cs="Arial"/>
          <w:sz w:val="22"/>
          <w:szCs w:val="22"/>
        </w:rPr>
        <w:t xml:space="preserve">a </w:t>
      </w:r>
      <w:r>
        <w:rPr>
          <w:rFonts w:asciiTheme="minorHAnsi" w:hAnsiTheme="minorHAnsi" w:cs="Arial"/>
          <w:sz w:val="22"/>
          <w:szCs w:val="22"/>
        </w:rPr>
        <w:t xml:space="preserve">BD </w:t>
      </w:r>
      <w:proofErr w:type="spellStart"/>
      <w:r>
        <w:rPr>
          <w:rFonts w:asciiTheme="minorHAnsi" w:hAnsiTheme="minorHAnsi" w:cs="Arial"/>
          <w:sz w:val="22"/>
          <w:szCs w:val="22"/>
        </w:rPr>
        <w:t>Accuri</w:t>
      </w:r>
      <w:proofErr w:type="spellEnd"/>
      <w:r>
        <w:rPr>
          <w:rFonts w:asciiTheme="minorHAnsi" w:hAnsiTheme="minorHAnsi" w:cs="Arial"/>
          <w:sz w:val="22"/>
          <w:szCs w:val="22"/>
        </w:rPr>
        <w:t xml:space="preserve"> C6, and a Luminex 200. </w:t>
      </w:r>
      <w:r w:rsidRPr="00B852A0">
        <w:rPr>
          <w:rFonts w:asciiTheme="minorHAnsi" w:hAnsiTheme="minorHAnsi" w:cs="Arial"/>
          <w:sz w:val="22"/>
          <w:szCs w:val="22"/>
        </w:rPr>
        <w:t xml:space="preserve">The </w:t>
      </w:r>
      <w:r>
        <w:rPr>
          <w:rFonts w:asciiTheme="minorHAnsi" w:hAnsiTheme="minorHAnsi" w:cs="Arial"/>
          <w:sz w:val="22"/>
          <w:szCs w:val="22"/>
        </w:rPr>
        <w:t>South Campus Flow Cytometry Core</w:t>
      </w:r>
      <w:r w:rsidRPr="00B852A0">
        <w:rPr>
          <w:rFonts w:asciiTheme="minorHAnsi" w:hAnsiTheme="minorHAnsi" w:cs="Arial"/>
          <w:sz w:val="22"/>
          <w:szCs w:val="22"/>
        </w:rPr>
        <w:t xml:space="preserve"> is managed by Dr. </w:t>
      </w:r>
      <w:r>
        <w:rPr>
          <w:rFonts w:asciiTheme="minorHAnsi" w:hAnsiTheme="minorHAnsi" w:cs="Arial"/>
          <w:sz w:val="22"/>
          <w:szCs w:val="22"/>
        </w:rPr>
        <w:t>Matthew Bernard</w:t>
      </w:r>
      <w:r w:rsidRPr="00B852A0">
        <w:rPr>
          <w:rFonts w:asciiTheme="minorHAnsi" w:hAnsiTheme="minorHAnsi" w:cs="Arial"/>
          <w:sz w:val="22"/>
          <w:szCs w:val="22"/>
        </w:rPr>
        <w:t xml:space="preserve"> who provides professional oversight, maintenance</w:t>
      </w:r>
      <w:r>
        <w:rPr>
          <w:rFonts w:asciiTheme="minorHAnsi" w:hAnsiTheme="minorHAnsi" w:cs="Arial"/>
          <w:sz w:val="22"/>
          <w:szCs w:val="22"/>
        </w:rPr>
        <w:t xml:space="preserve">, instrument and data analysis </w:t>
      </w:r>
      <w:r w:rsidRPr="00B852A0">
        <w:rPr>
          <w:rFonts w:asciiTheme="minorHAnsi" w:hAnsiTheme="minorHAnsi" w:cs="Arial"/>
          <w:sz w:val="22"/>
          <w:szCs w:val="22"/>
        </w:rPr>
        <w:t xml:space="preserve">training, </w:t>
      </w:r>
      <w:r w:rsidR="000703E7">
        <w:rPr>
          <w:rFonts w:asciiTheme="minorHAnsi" w:hAnsiTheme="minorHAnsi" w:cs="Arial"/>
          <w:sz w:val="22"/>
          <w:szCs w:val="22"/>
        </w:rPr>
        <w:t xml:space="preserve">access to data analysis software, </w:t>
      </w:r>
      <w:r>
        <w:rPr>
          <w:rFonts w:asciiTheme="minorHAnsi" w:hAnsiTheme="minorHAnsi" w:cs="Arial"/>
          <w:sz w:val="22"/>
          <w:szCs w:val="22"/>
        </w:rPr>
        <w:t xml:space="preserve">and assay development expertise, </w:t>
      </w:r>
      <w:r w:rsidRPr="00B852A0">
        <w:rPr>
          <w:rFonts w:asciiTheme="minorHAnsi" w:hAnsiTheme="minorHAnsi" w:cs="Arial"/>
          <w:sz w:val="22"/>
          <w:szCs w:val="22"/>
        </w:rPr>
        <w:t xml:space="preserve">as well as technical support and general education in flow cytometry principles. </w:t>
      </w:r>
    </w:p>
    <w:p w:rsidR="00863509" w:rsidRPr="00B852A0" w:rsidRDefault="00863509" w:rsidP="00E94F82">
      <w:pPr>
        <w:pStyle w:val="Default"/>
        <w:spacing w:after="34"/>
        <w:jc w:val="both"/>
        <w:rPr>
          <w:rFonts w:asciiTheme="minorHAnsi" w:hAnsiTheme="minorHAnsi" w:cs="Arial"/>
          <w:sz w:val="22"/>
          <w:szCs w:val="22"/>
        </w:rPr>
      </w:pPr>
    </w:p>
    <w:p w:rsidR="00863509" w:rsidRPr="009B6FE6" w:rsidRDefault="00863509" w:rsidP="00863509">
      <w:pPr>
        <w:rPr>
          <w:rFonts w:asciiTheme="minorHAnsi" w:hAnsiTheme="minorHAnsi"/>
          <w:sz w:val="22"/>
          <w:szCs w:val="22"/>
        </w:rPr>
      </w:pPr>
      <w:proofErr w:type="spellStart"/>
      <w:r>
        <w:rPr>
          <w:rFonts w:asciiTheme="minorHAnsi" w:hAnsiTheme="minorHAnsi"/>
          <w:b/>
          <w:sz w:val="22"/>
          <w:szCs w:val="22"/>
          <w:u w:val="single"/>
        </w:rPr>
        <w:t>Cytek</w:t>
      </w:r>
      <w:proofErr w:type="spellEnd"/>
      <w:r>
        <w:rPr>
          <w:rFonts w:asciiTheme="minorHAnsi" w:hAnsiTheme="minorHAnsi"/>
          <w:b/>
          <w:sz w:val="22"/>
          <w:szCs w:val="22"/>
          <w:u w:val="single"/>
        </w:rPr>
        <w:t xml:space="preserve"> Aurora</w:t>
      </w:r>
      <w:r w:rsidRPr="009B6FE6">
        <w:rPr>
          <w:rFonts w:asciiTheme="minorHAnsi" w:hAnsiTheme="minorHAnsi"/>
          <w:b/>
          <w:sz w:val="22"/>
          <w:szCs w:val="22"/>
          <w:u w:val="single"/>
        </w:rPr>
        <w:t>:</w:t>
      </w:r>
      <w:r>
        <w:rPr>
          <w:rFonts w:asciiTheme="minorHAnsi" w:hAnsiTheme="minorHAnsi"/>
          <w:sz w:val="22"/>
          <w:szCs w:val="22"/>
        </w:rPr>
        <w:t xml:space="preserve"> </w:t>
      </w:r>
      <w:r w:rsidRPr="00863509">
        <w:rPr>
          <w:rFonts w:asciiTheme="minorHAnsi" w:hAnsiTheme="minorHAnsi"/>
          <w:sz w:val="22"/>
          <w:szCs w:val="22"/>
        </w:rPr>
        <w:t xml:space="preserve">The </w:t>
      </w:r>
      <w:proofErr w:type="spellStart"/>
      <w:r w:rsidRPr="00863509">
        <w:rPr>
          <w:rFonts w:asciiTheme="minorHAnsi" w:hAnsiTheme="minorHAnsi"/>
          <w:sz w:val="22"/>
          <w:szCs w:val="22"/>
        </w:rPr>
        <w:t>Cytek</w:t>
      </w:r>
      <w:proofErr w:type="spellEnd"/>
      <w:r w:rsidRPr="00863509">
        <w:rPr>
          <w:rFonts w:asciiTheme="minorHAnsi" w:hAnsiTheme="minorHAnsi"/>
          <w:sz w:val="22"/>
          <w:szCs w:val="22"/>
        </w:rPr>
        <w:t xml:space="preserve"> Aurora is a </w:t>
      </w:r>
      <w:r>
        <w:rPr>
          <w:rFonts w:asciiTheme="minorHAnsi" w:hAnsiTheme="minorHAnsi"/>
          <w:sz w:val="22"/>
          <w:szCs w:val="22"/>
        </w:rPr>
        <w:t xml:space="preserve">cutting-edge </w:t>
      </w:r>
      <w:r w:rsidRPr="00863509">
        <w:rPr>
          <w:rFonts w:asciiTheme="minorHAnsi" w:hAnsiTheme="minorHAnsi"/>
          <w:sz w:val="22"/>
          <w:szCs w:val="22"/>
        </w:rPr>
        <w:t>spectral flow cytometer equipped with 4 lasers (violet 405nm, blue 488nm, yellow-green 561nm, and red 640nm) and has the capability of detecting up to 48 fluorescence channels with additional light scatter detectors off of the violet laser (SSC) and blue laser (FSC). The optics and state-of-the-art low-noise electronics provide excellent sensitivity and resolution. Future upgrades will include a 96-well auto-sampler and a UV laser.</w:t>
      </w:r>
      <w:r>
        <w:rPr>
          <w:rFonts w:asciiTheme="minorHAnsi" w:hAnsiTheme="minorHAnsi"/>
          <w:sz w:val="22"/>
          <w:szCs w:val="22"/>
        </w:rPr>
        <w:t xml:space="preserve"> </w:t>
      </w:r>
      <w:r w:rsidRPr="009B6FE6">
        <w:rPr>
          <w:rFonts w:asciiTheme="minorHAnsi" w:hAnsiTheme="minorHAnsi" w:cs="Arial"/>
          <w:sz w:val="22"/>
          <w:szCs w:val="22"/>
        </w:rPr>
        <w:t xml:space="preserve">The </w:t>
      </w:r>
      <w:proofErr w:type="spellStart"/>
      <w:r>
        <w:rPr>
          <w:rFonts w:asciiTheme="minorHAnsi" w:hAnsiTheme="minorHAnsi" w:cs="Arial"/>
          <w:sz w:val="22"/>
          <w:szCs w:val="22"/>
        </w:rPr>
        <w:t>Cytek</w:t>
      </w:r>
      <w:proofErr w:type="spellEnd"/>
      <w:r>
        <w:rPr>
          <w:rFonts w:asciiTheme="minorHAnsi" w:hAnsiTheme="minorHAnsi" w:cs="Arial"/>
          <w:sz w:val="22"/>
          <w:szCs w:val="22"/>
        </w:rPr>
        <w:t xml:space="preserve"> Aurora</w:t>
      </w:r>
      <w:r w:rsidRPr="009B6FE6">
        <w:rPr>
          <w:rFonts w:asciiTheme="minorHAnsi" w:hAnsiTheme="minorHAnsi" w:cs="Arial"/>
          <w:sz w:val="22"/>
          <w:szCs w:val="22"/>
        </w:rPr>
        <w:t xml:space="preserve"> is located in </w:t>
      </w:r>
      <w:r>
        <w:rPr>
          <w:rFonts w:asciiTheme="minorHAnsi" w:hAnsiTheme="minorHAnsi" w:cs="Arial"/>
          <w:sz w:val="22"/>
          <w:szCs w:val="22"/>
        </w:rPr>
        <w:t>the MSU South Campus Flow Cytometry Core (Room 2521, IQ Building).</w:t>
      </w:r>
    </w:p>
    <w:p w:rsidR="009B6FE6" w:rsidRPr="009B6FE6" w:rsidRDefault="009B6FE6">
      <w:pPr>
        <w:rPr>
          <w:rFonts w:asciiTheme="minorHAnsi" w:hAnsiTheme="minorHAnsi"/>
          <w:sz w:val="22"/>
          <w:szCs w:val="22"/>
        </w:rPr>
      </w:pPr>
    </w:p>
    <w:p w:rsidR="00407F75" w:rsidRPr="009B6FE6" w:rsidRDefault="009B6FE6" w:rsidP="009B6FE6">
      <w:pPr>
        <w:rPr>
          <w:rFonts w:asciiTheme="minorHAnsi" w:hAnsiTheme="minorHAnsi"/>
          <w:sz w:val="22"/>
          <w:szCs w:val="22"/>
        </w:rPr>
      </w:pPr>
      <w:r w:rsidRPr="009B6FE6">
        <w:rPr>
          <w:rFonts w:asciiTheme="minorHAnsi" w:hAnsiTheme="minorHAnsi"/>
          <w:b/>
          <w:sz w:val="22"/>
          <w:szCs w:val="22"/>
          <w:u w:val="single"/>
        </w:rPr>
        <w:t xml:space="preserve">BD </w:t>
      </w:r>
      <w:proofErr w:type="spellStart"/>
      <w:r w:rsidRPr="009B6FE6">
        <w:rPr>
          <w:rFonts w:asciiTheme="minorHAnsi" w:hAnsiTheme="minorHAnsi"/>
          <w:b/>
          <w:sz w:val="22"/>
          <w:szCs w:val="22"/>
          <w:u w:val="single"/>
        </w:rPr>
        <w:t>Accuri</w:t>
      </w:r>
      <w:proofErr w:type="spellEnd"/>
      <w:r w:rsidRPr="009B6FE6">
        <w:rPr>
          <w:rFonts w:asciiTheme="minorHAnsi" w:hAnsiTheme="minorHAnsi"/>
          <w:b/>
          <w:sz w:val="22"/>
          <w:szCs w:val="22"/>
          <w:u w:val="single"/>
        </w:rPr>
        <w:t xml:space="preserve"> C6:</w:t>
      </w:r>
      <w:r>
        <w:rPr>
          <w:rFonts w:asciiTheme="minorHAnsi" w:hAnsiTheme="minorHAnsi"/>
          <w:sz w:val="22"/>
          <w:szCs w:val="22"/>
        </w:rPr>
        <w:t xml:space="preserve"> </w:t>
      </w:r>
      <w:r w:rsidRPr="009B6FE6">
        <w:rPr>
          <w:rFonts w:asciiTheme="minorHAnsi" w:hAnsiTheme="minorHAnsi"/>
          <w:sz w:val="22"/>
          <w:szCs w:val="22"/>
        </w:rPr>
        <w:t xml:space="preserve">The BD </w:t>
      </w:r>
      <w:proofErr w:type="spellStart"/>
      <w:r w:rsidRPr="009B6FE6">
        <w:rPr>
          <w:rFonts w:asciiTheme="minorHAnsi" w:hAnsiTheme="minorHAnsi"/>
          <w:sz w:val="22"/>
          <w:szCs w:val="22"/>
        </w:rPr>
        <w:t>Accuri</w:t>
      </w:r>
      <w:proofErr w:type="spellEnd"/>
      <w:r w:rsidRPr="009B6FE6">
        <w:rPr>
          <w:rFonts w:asciiTheme="minorHAnsi" w:hAnsiTheme="minorHAnsi"/>
          <w:sz w:val="22"/>
          <w:szCs w:val="22"/>
        </w:rPr>
        <w:t xml:space="preserve"> C6 is a compact flow cytometer that uses a low-pressure </w:t>
      </w:r>
      <w:r w:rsidR="00A43930">
        <w:rPr>
          <w:rFonts w:asciiTheme="minorHAnsi" w:hAnsiTheme="minorHAnsi"/>
          <w:sz w:val="22"/>
          <w:szCs w:val="22"/>
        </w:rPr>
        <w:t xml:space="preserve">peristaltic </w:t>
      </w:r>
      <w:r w:rsidRPr="009B6FE6">
        <w:rPr>
          <w:rFonts w:asciiTheme="minorHAnsi" w:hAnsiTheme="minorHAnsi"/>
          <w:sz w:val="22"/>
          <w:szCs w:val="22"/>
        </w:rPr>
        <w:t xml:space="preserve">pumping system to drive </w:t>
      </w:r>
      <w:r w:rsidR="00A43930">
        <w:rPr>
          <w:rFonts w:asciiTheme="minorHAnsi" w:hAnsiTheme="minorHAnsi"/>
          <w:sz w:val="22"/>
          <w:szCs w:val="22"/>
        </w:rPr>
        <w:t>instrument</w:t>
      </w:r>
      <w:r w:rsidRPr="009B6FE6">
        <w:rPr>
          <w:rFonts w:asciiTheme="minorHAnsi" w:hAnsiTheme="minorHAnsi"/>
          <w:sz w:val="22"/>
          <w:szCs w:val="22"/>
        </w:rPr>
        <w:t xml:space="preserve"> fluidics allowing for the derivation of sample volume and calculation of absolute counts or sample concentration per microliter. The instrument is capable of running up to 10,000 events per second at sample concentrations of over 5 x 10</w:t>
      </w:r>
      <w:r w:rsidRPr="009B6FE6">
        <w:rPr>
          <w:rFonts w:asciiTheme="minorHAnsi" w:hAnsiTheme="minorHAnsi"/>
          <w:sz w:val="22"/>
          <w:szCs w:val="22"/>
          <w:vertAlign w:val="superscript"/>
        </w:rPr>
        <w:t>6</w:t>
      </w:r>
      <w:r w:rsidRPr="009B6FE6">
        <w:rPr>
          <w:rFonts w:asciiTheme="minorHAnsi" w:hAnsiTheme="minorHAnsi"/>
          <w:sz w:val="22"/>
          <w:szCs w:val="22"/>
        </w:rPr>
        <w:t xml:space="preserve"> cells/</w:t>
      </w:r>
      <w:proofErr w:type="spellStart"/>
      <w:r w:rsidRPr="009B6FE6">
        <w:rPr>
          <w:rFonts w:asciiTheme="minorHAnsi" w:hAnsiTheme="minorHAnsi"/>
          <w:sz w:val="22"/>
          <w:szCs w:val="22"/>
        </w:rPr>
        <w:t>mL.</w:t>
      </w:r>
      <w:proofErr w:type="spellEnd"/>
      <w:r w:rsidRPr="009B6FE6">
        <w:rPr>
          <w:rFonts w:asciiTheme="minorHAnsi" w:hAnsiTheme="minorHAnsi"/>
          <w:sz w:val="22"/>
          <w:szCs w:val="22"/>
        </w:rPr>
        <w:t xml:space="preserve"> It is equipped with 2 lasers: a blue 488nm (3 detectors + FSC/SSC; FL1 [530±15 nm], FL2 [585±20 nm], FL3 [&gt;670 nm]) and a red 640nm (1 detector; FL-4 [675±12.5 nm]). The optical configuration allows multi-parameter detection of up to 4 fluorescent parameters and 2 light scatter parameters. </w:t>
      </w:r>
      <w:r w:rsidR="00A43930" w:rsidRPr="009B6FE6">
        <w:rPr>
          <w:rFonts w:asciiTheme="minorHAnsi" w:hAnsiTheme="minorHAnsi" w:cs="Arial"/>
          <w:sz w:val="22"/>
          <w:szCs w:val="22"/>
        </w:rPr>
        <w:t xml:space="preserve">The system is operated using </w:t>
      </w:r>
      <w:proofErr w:type="spellStart"/>
      <w:r w:rsidR="00A43930">
        <w:rPr>
          <w:rFonts w:asciiTheme="minorHAnsi" w:hAnsiTheme="minorHAnsi" w:cs="Arial"/>
          <w:sz w:val="22"/>
          <w:szCs w:val="22"/>
        </w:rPr>
        <w:t>CFlow</w:t>
      </w:r>
      <w:proofErr w:type="spellEnd"/>
      <w:r w:rsidR="00A43930">
        <w:rPr>
          <w:rFonts w:asciiTheme="minorHAnsi" w:hAnsiTheme="minorHAnsi" w:cs="Arial"/>
          <w:sz w:val="22"/>
          <w:szCs w:val="22"/>
        </w:rPr>
        <w:t xml:space="preserve"> Plus</w:t>
      </w:r>
      <w:r w:rsidR="00A43930" w:rsidRPr="009B6FE6">
        <w:rPr>
          <w:rFonts w:asciiTheme="minorHAnsi" w:hAnsiTheme="minorHAnsi" w:cs="Arial"/>
          <w:sz w:val="22"/>
          <w:szCs w:val="22"/>
        </w:rPr>
        <w:t xml:space="preserve"> software. </w:t>
      </w:r>
      <w:r w:rsidRPr="009B6FE6">
        <w:rPr>
          <w:rFonts w:asciiTheme="minorHAnsi" w:hAnsiTheme="minorHAnsi"/>
          <w:sz w:val="22"/>
          <w:szCs w:val="22"/>
        </w:rPr>
        <w:t>Optical filters allow for detection of commonly used fluorescent markers,</w:t>
      </w:r>
      <w:r w:rsidR="00A43930">
        <w:rPr>
          <w:rFonts w:asciiTheme="minorHAnsi" w:hAnsiTheme="minorHAnsi"/>
          <w:sz w:val="22"/>
          <w:szCs w:val="22"/>
        </w:rPr>
        <w:t xml:space="preserve"> including, but not limited to: </w:t>
      </w:r>
      <w:r w:rsidRPr="009B6FE6">
        <w:rPr>
          <w:rFonts w:asciiTheme="minorHAnsi" w:hAnsiTheme="minorHAnsi"/>
          <w:sz w:val="22"/>
          <w:szCs w:val="22"/>
        </w:rPr>
        <w:t>F</w:t>
      </w:r>
      <w:r w:rsidR="00A43930">
        <w:rPr>
          <w:rFonts w:asciiTheme="minorHAnsi" w:hAnsiTheme="minorHAnsi"/>
          <w:sz w:val="22"/>
          <w:szCs w:val="22"/>
        </w:rPr>
        <w:t xml:space="preserve">L1- FITC, AF488, GFP, CFSE, YFP; FL2- PE, PI; </w:t>
      </w:r>
      <w:r w:rsidRPr="009B6FE6">
        <w:rPr>
          <w:rFonts w:asciiTheme="minorHAnsi" w:hAnsiTheme="minorHAnsi"/>
          <w:sz w:val="22"/>
          <w:szCs w:val="22"/>
        </w:rPr>
        <w:t xml:space="preserve">FL3- </w:t>
      </w:r>
      <w:proofErr w:type="spellStart"/>
      <w:r w:rsidRPr="009B6FE6">
        <w:rPr>
          <w:rFonts w:asciiTheme="minorHAnsi" w:hAnsiTheme="minorHAnsi"/>
          <w:sz w:val="22"/>
          <w:szCs w:val="22"/>
        </w:rPr>
        <w:t>PerCP</w:t>
      </w:r>
      <w:proofErr w:type="spellEnd"/>
      <w:r w:rsidRPr="009B6FE6">
        <w:rPr>
          <w:rFonts w:asciiTheme="minorHAnsi" w:hAnsiTheme="minorHAnsi"/>
          <w:sz w:val="22"/>
          <w:szCs w:val="22"/>
        </w:rPr>
        <w:t>, Pe</w:t>
      </w:r>
      <w:r w:rsidR="00A43930">
        <w:rPr>
          <w:rFonts w:asciiTheme="minorHAnsi" w:hAnsiTheme="minorHAnsi"/>
          <w:sz w:val="22"/>
          <w:szCs w:val="22"/>
        </w:rPr>
        <w:t xml:space="preserve">rCP-Cy5.5, PE-Cy7, RFP, </w:t>
      </w:r>
      <w:proofErr w:type="spellStart"/>
      <w:r w:rsidR="00A43930">
        <w:rPr>
          <w:rFonts w:asciiTheme="minorHAnsi" w:hAnsiTheme="minorHAnsi"/>
          <w:sz w:val="22"/>
          <w:szCs w:val="22"/>
        </w:rPr>
        <w:t>mCherry</w:t>
      </w:r>
      <w:proofErr w:type="spellEnd"/>
      <w:r w:rsidR="00A43930">
        <w:rPr>
          <w:rFonts w:asciiTheme="minorHAnsi" w:hAnsiTheme="minorHAnsi"/>
          <w:sz w:val="22"/>
          <w:szCs w:val="22"/>
        </w:rPr>
        <w:t xml:space="preserve">; </w:t>
      </w:r>
      <w:r w:rsidRPr="009B6FE6">
        <w:rPr>
          <w:rFonts w:asciiTheme="minorHAnsi" w:hAnsiTheme="minorHAnsi"/>
          <w:sz w:val="22"/>
          <w:szCs w:val="22"/>
        </w:rPr>
        <w:t>FL4- APC, AF647, APC-Cy7, APC-H7</w:t>
      </w:r>
      <w:r w:rsidR="00A43930">
        <w:rPr>
          <w:rFonts w:asciiTheme="minorHAnsi" w:hAnsiTheme="minorHAnsi"/>
          <w:sz w:val="22"/>
          <w:szCs w:val="22"/>
        </w:rPr>
        <w:t xml:space="preserve">. </w:t>
      </w:r>
      <w:r w:rsidR="00407F75" w:rsidRPr="009B6FE6">
        <w:rPr>
          <w:rFonts w:asciiTheme="minorHAnsi" w:hAnsiTheme="minorHAnsi" w:cs="Arial"/>
          <w:sz w:val="22"/>
          <w:szCs w:val="22"/>
        </w:rPr>
        <w:t xml:space="preserve">The </w:t>
      </w:r>
      <w:r w:rsidR="00407F75">
        <w:rPr>
          <w:rFonts w:asciiTheme="minorHAnsi" w:hAnsiTheme="minorHAnsi" w:cs="Arial"/>
          <w:sz w:val="22"/>
          <w:szCs w:val="22"/>
        </w:rPr>
        <w:t xml:space="preserve">BD </w:t>
      </w:r>
      <w:proofErr w:type="spellStart"/>
      <w:r w:rsidR="00407F75">
        <w:rPr>
          <w:rFonts w:asciiTheme="minorHAnsi" w:hAnsiTheme="minorHAnsi" w:cs="Arial"/>
          <w:sz w:val="22"/>
          <w:szCs w:val="22"/>
        </w:rPr>
        <w:t>Accuri</w:t>
      </w:r>
      <w:proofErr w:type="spellEnd"/>
      <w:r w:rsidR="00407F75">
        <w:rPr>
          <w:rFonts w:asciiTheme="minorHAnsi" w:hAnsiTheme="minorHAnsi" w:cs="Arial"/>
          <w:sz w:val="22"/>
          <w:szCs w:val="22"/>
        </w:rPr>
        <w:t xml:space="preserve"> C6</w:t>
      </w:r>
      <w:r w:rsidR="00407F75" w:rsidRPr="009B6FE6">
        <w:rPr>
          <w:rFonts w:asciiTheme="minorHAnsi" w:hAnsiTheme="minorHAnsi" w:cs="Arial"/>
          <w:sz w:val="22"/>
          <w:szCs w:val="22"/>
        </w:rPr>
        <w:t xml:space="preserve"> is located in </w:t>
      </w:r>
      <w:r w:rsidR="00407F75">
        <w:rPr>
          <w:rFonts w:asciiTheme="minorHAnsi" w:hAnsiTheme="minorHAnsi" w:cs="Arial"/>
          <w:sz w:val="22"/>
          <w:szCs w:val="22"/>
        </w:rPr>
        <w:t>the MSU South Campus Flow Cytometry Core (Room 2521, IQ Building).</w:t>
      </w:r>
    </w:p>
    <w:p w:rsidR="009B6FE6" w:rsidRPr="009B6FE6" w:rsidRDefault="009B6FE6" w:rsidP="009B6FE6">
      <w:pPr>
        <w:rPr>
          <w:rFonts w:asciiTheme="minorHAnsi" w:hAnsiTheme="minorHAnsi"/>
          <w:sz w:val="22"/>
          <w:szCs w:val="22"/>
        </w:rPr>
      </w:pPr>
    </w:p>
    <w:p w:rsidR="009B6FE6" w:rsidRPr="009B6FE6" w:rsidRDefault="009B6FE6" w:rsidP="009B6FE6">
      <w:pPr>
        <w:jc w:val="both"/>
        <w:rPr>
          <w:rFonts w:asciiTheme="minorHAnsi" w:hAnsiTheme="minorHAnsi" w:cs="Arial"/>
          <w:sz w:val="22"/>
          <w:szCs w:val="22"/>
        </w:rPr>
      </w:pPr>
      <w:r w:rsidRPr="009B6FE6">
        <w:rPr>
          <w:rFonts w:asciiTheme="minorHAnsi" w:hAnsiTheme="minorHAnsi" w:cs="Arial"/>
          <w:b/>
          <w:sz w:val="22"/>
          <w:szCs w:val="22"/>
          <w:u w:val="single"/>
        </w:rPr>
        <w:t xml:space="preserve">BD FACS Aria </w:t>
      </w:r>
      <w:proofErr w:type="spellStart"/>
      <w:r w:rsidRPr="009B6FE6">
        <w:rPr>
          <w:rFonts w:asciiTheme="minorHAnsi" w:hAnsiTheme="minorHAnsi" w:cs="Arial"/>
          <w:b/>
          <w:sz w:val="22"/>
          <w:szCs w:val="22"/>
          <w:u w:val="single"/>
        </w:rPr>
        <w:t>IIu</w:t>
      </w:r>
      <w:proofErr w:type="spellEnd"/>
      <w:r w:rsidRPr="009B6FE6">
        <w:rPr>
          <w:rFonts w:asciiTheme="minorHAnsi" w:hAnsiTheme="minorHAnsi" w:cs="Arial"/>
          <w:b/>
          <w:sz w:val="22"/>
          <w:szCs w:val="22"/>
          <w:u w:val="single"/>
        </w:rPr>
        <w:t>:</w:t>
      </w:r>
      <w:r w:rsidRPr="009B6FE6">
        <w:rPr>
          <w:rFonts w:asciiTheme="minorHAnsi" w:hAnsiTheme="minorHAnsi" w:cs="Arial"/>
          <w:b/>
          <w:sz w:val="22"/>
          <w:szCs w:val="22"/>
        </w:rPr>
        <w:t xml:space="preserve"> </w:t>
      </w:r>
      <w:r w:rsidRPr="009B6FE6">
        <w:rPr>
          <w:rFonts w:asciiTheme="minorHAnsi" w:hAnsiTheme="minorHAnsi" w:cs="Arial"/>
          <w:sz w:val="22"/>
          <w:szCs w:val="22"/>
        </w:rPr>
        <w:t xml:space="preserve">The BD FACS Aria </w:t>
      </w:r>
      <w:proofErr w:type="spellStart"/>
      <w:r w:rsidRPr="009B6FE6">
        <w:rPr>
          <w:rFonts w:asciiTheme="minorHAnsi" w:hAnsiTheme="minorHAnsi" w:cs="Arial"/>
          <w:sz w:val="22"/>
          <w:szCs w:val="22"/>
        </w:rPr>
        <w:t>IIu</w:t>
      </w:r>
      <w:proofErr w:type="spellEnd"/>
      <w:r w:rsidRPr="009B6FE6">
        <w:rPr>
          <w:rFonts w:asciiTheme="minorHAnsi" w:hAnsiTheme="minorHAnsi" w:cs="Arial"/>
          <w:sz w:val="22"/>
          <w:szCs w:val="22"/>
        </w:rPr>
        <w:t xml:space="preserve"> is equipped with 3 lasers: a 405nm violet (4 detectors), a 488nm </w:t>
      </w:r>
      <w:r w:rsidR="00407F75">
        <w:rPr>
          <w:rFonts w:asciiTheme="minorHAnsi" w:hAnsiTheme="minorHAnsi" w:cs="Arial"/>
          <w:sz w:val="22"/>
          <w:szCs w:val="22"/>
        </w:rPr>
        <w:t>blue (6 detectors + SSC</w:t>
      </w:r>
      <w:r w:rsidRPr="009B6FE6">
        <w:rPr>
          <w:rFonts w:asciiTheme="minorHAnsi" w:hAnsiTheme="minorHAnsi" w:cs="Arial"/>
          <w:sz w:val="22"/>
          <w:szCs w:val="22"/>
        </w:rPr>
        <w:t>), and a 633nm red (3 detectors). The optical configuration allows multi</w:t>
      </w:r>
      <w:r w:rsidR="00407F75">
        <w:rPr>
          <w:rFonts w:asciiTheme="minorHAnsi" w:hAnsiTheme="minorHAnsi" w:cs="Arial"/>
          <w:sz w:val="22"/>
          <w:szCs w:val="22"/>
        </w:rPr>
        <w:t>-parameter detection of up to 13</w:t>
      </w:r>
      <w:r w:rsidRPr="009B6FE6">
        <w:rPr>
          <w:rFonts w:asciiTheme="minorHAnsi" w:hAnsiTheme="minorHAnsi" w:cs="Arial"/>
          <w:sz w:val="22"/>
          <w:szCs w:val="22"/>
        </w:rPr>
        <w:t xml:space="preserve"> fluorescent parameters and 2 light scatter parameters. The system is operated using BD </w:t>
      </w:r>
      <w:proofErr w:type="spellStart"/>
      <w:r w:rsidRPr="009B6FE6">
        <w:rPr>
          <w:rFonts w:asciiTheme="minorHAnsi" w:hAnsiTheme="minorHAnsi" w:cs="Arial"/>
          <w:sz w:val="22"/>
          <w:szCs w:val="22"/>
        </w:rPr>
        <w:t>FACSDiva</w:t>
      </w:r>
      <w:proofErr w:type="spellEnd"/>
      <w:r w:rsidRPr="009B6FE6">
        <w:rPr>
          <w:rFonts w:asciiTheme="minorHAnsi" w:hAnsiTheme="minorHAnsi" w:cs="Arial"/>
          <w:sz w:val="22"/>
          <w:szCs w:val="22"/>
        </w:rPr>
        <w:t xml:space="preserve"> software. </w:t>
      </w:r>
      <w:r w:rsidR="00407F75">
        <w:rPr>
          <w:rFonts w:asciiTheme="minorHAnsi" w:hAnsiTheme="minorHAnsi" w:cs="Arial"/>
          <w:sz w:val="22"/>
          <w:szCs w:val="22"/>
        </w:rPr>
        <w:t xml:space="preserve">The instrument is capable of performing both acquisition/analysis of samples, in addition to its main cell sorting function. </w:t>
      </w:r>
      <w:r w:rsidRPr="009B6FE6">
        <w:rPr>
          <w:rFonts w:asciiTheme="minorHAnsi" w:hAnsiTheme="minorHAnsi" w:cs="Arial"/>
          <w:sz w:val="22"/>
          <w:szCs w:val="22"/>
        </w:rPr>
        <w:t>The BD FACS Aria-</w:t>
      </w:r>
      <w:proofErr w:type="spellStart"/>
      <w:r w:rsidRPr="009B6FE6">
        <w:rPr>
          <w:rFonts w:asciiTheme="minorHAnsi" w:hAnsiTheme="minorHAnsi" w:cs="Arial"/>
          <w:sz w:val="22"/>
          <w:szCs w:val="22"/>
        </w:rPr>
        <w:t>IIu</w:t>
      </w:r>
      <w:proofErr w:type="spellEnd"/>
      <w:r w:rsidRPr="009B6FE6">
        <w:rPr>
          <w:rFonts w:asciiTheme="minorHAnsi" w:hAnsiTheme="minorHAnsi" w:cs="Arial"/>
          <w:sz w:val="22"/>
          <w:szCs w:val="22"/>
        </w:rPr>
        <w:t xml:space="preserve"> is equipped with BD </w:t>
      </w:r>
      <w:proofErr w:type="spellStart"/>
      <w:r w:rsidRPr="009B6FE6">
        <w:rPr>
          <w:rFonts w:asciiTheme="minorHAnsi" w:hAnsiTheme="minorHAnsi" w:cs="Arial"/>
          <w:sz w:val="22"/>
          <w:szCs w:val="22"/>
        </w:rPr>
        <w:t>Accudrop</w:t>
      </w:r>
      <w:proofErr w:type="spellEnd"/>
      <w:r w:rsidRPr="009B6FE6">
        <w:rPr>
          <w:rFonts w:asciiTheme="minorHAnsi" w:hAnsiTheme="minorHAnsi" w:cs="Arial"/>
          <w:sz w:val="22"/>
          <w:szCs w:val="22"/>
        </w:rPr>
        <w:t xml:space="preserve"> and Sweet Spot technologies that increase sort accuracy and stability. The sorter is capable of high-speed sorting through over 50x10</w:t>
      </w:r>
      <w:r w:rsidRPr="009B6FE6">
        <w:rPr>
          <w:rFonts w:asciiTheme="minorHAnsi" w:hAnsiTheme="minorHAnsi" w:cs="Arial"/>
          <w:sz w:val="22"/>
          <w:szCs w:val="22"/>
          <w:vertAlign w:val="superscript"/>
        </w:rPr>
        <w:t>6</w:t>
      </w:r>
      <w:r w:rsidRPr="009B6FE6">
        <w:rPr>
          <w:rFonts w:asciiTheme="minorHAnsi" w:hAnsiTheme="minorHAnsi" w:cs="Arial"/>
          <w:sz w:val="22"/>
          <w:szCs w:val="22"/>
        </w:rPr>
        <w:t xml:space="preserve"> cells per hour with up to four populations simultaneously and ability to sort for single-cell applications. An Automated Cell Deposition Unit, ACDU, is integrated to allow for sorting cells into microtiter plates up through 96-well layouts. The sorter is fitted with 70, 85, and 100 µm nozzles to allow for sorting a wide variety of cell types. </w:t>
      </w:r>
      <w:r w:rsidR="00A43930">
        <w:rPr>
          <w:rFonts w:asciiTheme="minorHAnsi" w:hAnsiTheme="minorHAnsi" w:cs="Arial"/>
          <w:sz w:val="22"/>
          <w:szCs w:val="22"/>
        </w:rPr>
        <w:t xml:space="preserve">The </w:t>
      </w:r>
      <w:r w:rsidR="00407F75">
        <w:rPr>
          <w:rFonts w:asciiTheme="minorHAnsi" w:hAnsiTheme="minorHAnsi" w:cs="Arial"/>
          <w:sz w:val="22"/>
          <w:szCs w:val="22"/>
        </w:rPr>
        <w:t>instrument is installed in a</w:t>
      </w:r>
      <w:r w:rsidRPr="009B6FE6">
        <w:rPr>
          <w:rFonts w:asciiTheme="minorHAnsi" w:hAnsiTheme="minorHAnsi" w:cs="Arial"/>
          <w:sz w:val="22"/>
          <w:szCs w:val="22"/>
        </w:rPr>
        <w:t xml:space="preserve"> Baker </w:t>
      </w:r>
      <w:proofErr w:type="spellStart"/>
      <w:r w:rsidRPr="009B6FE6">
        <w:rPr>
          <w:rFonts w:asciiTheme="minorHAnsi" w:hAnsiTheme="minorHAnsi" w:cs="Arial"/>
          <w:sz w:val="22"/>
          <w:szCs w:val="22"/>
        </w:rPr>
        <w:t>BioProtect</w:t>
      </w:r>
      <w:proofErr w:type="spellEnd"/>
      <w:r w:rsidRPr="009B6FE6">
        <w:rPr>
          <w:rFonts w:asciiTheme="minorHAnsi" w:hAnsiTheme="minorHAnsi" w:cs="Arial"/>
          <w:sz w:val="22"/>
          <w:szCs w:val="22"/>
        </w:rPr>
        <w:t xml:space="preserve"> </w:t>
      </w:r>
      <w:r w:rsidR="00407F75">
        <w:rPr>
          <w:rFonts w:asciiTheme="minorHAnsi" w:hAnsiTheme="minorHAnsi" w:cs="Arial"/>
          <w:sz w:val="22"/>
          <w:szCs w:val="22"/>
        </w:rPr>
        <w:t xml:space="preserve">IV </w:t>
      </w:r>
      <w:r w:rsidRPr="009B6FE6">
        <w:rPr>
          <w:rFonts w:asciiTheme="minorHAnsi" w:hAnsiTheme="minorHAnsi" w:cs="Arial"/>
          <w:sz w:val="22"/>
          <w:szCs w:val="22"/>
        </w:rPr>
        <w:t xml:space="preserve">Class II Biosafety Cabinet to allow for appropriate sorting of BSL-2+ samples. </w:t>
      </w:r>
      <w:r w:rsidR="00A43930">
        <w:rPr>
          <w:rFonts w:asciiTheme="minorHAnsi" w:hAnsiTheme="minorHAnsi" w:cs="Arial"/>
          <w:sz w:val="22"/>
          <w:szCs w:val="22"/>
        </w:rPr>
        <w:t>The Biosafety cabinet provides a means to evacuate</w:t>
      </w:r>
      <w:r w:rsidR="00A43930" w:rsidRPr="009B6FE6">
        <w:rPr>
          <w:rFonts w:asciiTheme="minorHAnsi" w:hAnsiTheme="minorHAnsi" w:cs="Arial"/>
          <w:sz w:val="22"/>
          <w:szCs w:val="22"/>
        </w:rPr>
        <w:t xml:space="preserve"> the sor</w:t>
      </w:r>
      <w:r w:rsidR="00A43930">
        <w:rPr>
          <w:rFonts w:asciiTheme="minorHAnsi" w:hAnsiTheme="minorHAnsi" w:cs="Arial"/>
          <w:sz w:val="22"/>
          <w:szCs w:val="22"/>
        </w:rPr>
        <w:t xml:space="preserve">t collection chamber and traps </w:t>
      </w:r>
      <w:r w:rsidR="00A43930" w:rsidRPr="009B6FE6">
        <w:rPr>
          <w:rFonts w:asciiTheme="minorHAnsi" w:hAnsiTheme="minorHAnsi" w:cs="Arial"/>
          <w:sz w:val="22"/>
          <w:szCs w:val="22"/>
        </w:rPr>
        <w:t xml:space="preserve">aerosols that may be generated during the sorting process. </w:t>
      </w:r>
      <w:r w:rsidRPr="009B6FE6">
        <w:rPr>
          <w:rFonts w:asciiTheme="minorHAnsi" w:hAnsiTheme="minorHAnsi" w:cs="Arial"/>
          <w:sz w:val="22"/>
          <w:szCs w:val="22"/>
        </w:rPr>
        <w:t xml:space="preserve">The BD FACS Aria </w:t>
      </w:r>
      <w:proofErr w:type="spellStart"/>
      <w:r w:rsidRPr="009B6FE6">
        <w:rPr>
          <w:rFonts w:asciiTheme="minorHAnsi" w:hAnsiTheme="minorHAnsi" w:cs="Arial"/>
          <w:sz w:val="22"/>
          <w:szCs w:val="22"/>
        </w:rPr>
        <w:t>IIu</w:t>
      </w:r>
      <w:proofErr w:type="spellEnd"/>
      <w:r w:rsidRPr="009B6FE6">
        <w:rPr>
          <w:rFonts w:asciiTheme="minorHAnsi" w:hAnsiTheme="minorHAnsi" w:cs="Arial"/>
          <w:sz w:val="22"/>
          <w:szCs w:val="22"/>
        </w:rPr>
        <w:t xml:space="preserve"> is located in </w:t>
      </w:r>
      <w:r>
        <w:rPr>
          <w:rFonts w:asciiTheme="minorHAnsi" w:hAnsiTheme="minorHAnsi" w:cs="Arial"/>
          <w:sz w:val="22"/>
          <w:szCs w:val="22"/>
        </w:rPr>
        <w:t>the MSU South Campus Flow Cytometry Core (Room 2522, IQ Building).</w:t>
      </w:r>
    </w:p>
    <w:p w:rsidR="009B6FE6" w:rsidRPr="009B6FE6" w:rsidRDefault="009B6FE6" w:rsidP="009B6FE6">
      <w:pPr>
        <w:rPr>
          <w:rFonts w:asciiTheme="minorHAnsi" w:hAnsiTheme="minorHAnsi"/>
          <w:sz w:val="22"/>
          <w:szCs w:val="22"/>
        </w:rPr>
      </w:pPr>
    </w:p>
    <w:p w:rsidR="009B6FE6" w:rsidRPr="00C623CA" w:rsidRDefault="009B6FE6" w:rsidP="00C623CA">
      <w:pPr>
        <w:jc w:val="both"/>
        <w:rPr>
          <w:rFonts w:asciiTheme="minorHAnsi" w:hAnsiTheme="minorHAnsi" w:cs="Arial"/>
          <w:sz w:val="22"/>
          <w:szCs w:val="22"/>
        </w:rPr>
      </w:pPr>
      <w:r w:rsidRPr="009B6FE6">
        <w:rPr>
          <w:rFonts w:asciiTheme="minorHAnsi" w:hAnsiTheme="minorHAnsi" w:cs="Arial"/>
          <w:b/>
          <w:sz w:val="22"/>
          <w:szCs w:val="22"/>
          <w:u w:val="single"/>
        </w:rPr>
        <w:t>Luminex-200 System:</w:t>
      </w:r>
      <w:r w:rsidRPr="009B6FE6">
        <w:rPr>
          <w:rFonts w:asciiTheme="minorHAnsi" w:hAnsiTheme="minorHAnsi" w:cs="Arial"/>
          <w:sz w:val="22"/>
          <w:szCs w:val="22"/>
        </w:rPr>
        <w:t xml:space="preserve"> The Luminex 200 System is a diagnostic instrument that performs bead-based multiplex </w:t>
      </w:r>
      <w:r w:rsidR="00407F75">
        <w:rPr>
          <w:rFonts w:asciiTheme="minorHAnsi" w:hAnsiTheme="minorHAnsi" w:cs="Arial"/>
          <w:sz w:val="22"/>
          <w:szCs w:val="22"/>
        </w:rPr>
        <w:t xml:space="preserve">(96-well format) </w:t>
      </w:r>
      <w:r w:rsidRPr="009B6FE6">
        <w:rPr>
          <w:rFonts w:asciiTheme="minorHAnsi" w:hAnsiTheme="minorHAnsi" w:cs="Arial"/>
          <w:sz w:val="22"/>
          <w:szCs w:val="22"/>
        </w:rPr>
        <w:t xml:space="preserve">analysis of up to 100 </w:t>
      </w:r>
      <w:proofErr w:type="spellStart"/>
      <w:r w:rsidRPr="009B6FE6">
        <w:rPr>
          <w:rFonts w:asciiTheme="minorHAnsi" w:hAnsiTheme="minorHAnsi" w:cs="Arial"/>
          <w:sz w:val="22"/>
          <w:szCs w:val="22"/>
        </w:rPr>
        <w:t>analytes</w:t>
      </w:r>
      <w:proofErr w:type="spellEnd"/>
      <w:r w:rsidRPr="009B6FE6">
        <w:rPr>
          <w:rFonts w:asciiTheme="minorHAnsi" w:hAnsiTheme="minorHAnsi" w:cs="Arial"/>
          <w:sz w:val="22"/>
          <w:szCs w:val="22"/>
        </w:rPr>
        <w:t xml:space="preserve"> simultaneously in a single small volume sample</w:t>
      </w:r>
      <w:r w:rsidR="00407F75">
        <w:rPr>
          <w:rFonts w:asciiTheme="minorHAnsi" w:hAnsiTheme="minorHAnsi" w:cs="Arial"/>
          <w:sz w:val="22"/>
          <w:szCs w:val="22"/>
        </w:rPr>
        <w:t>s</w:t>
      </w:r>
      <w:r w:rsidRPr="009B6FE6">
        <w:rPr>
          <w:rFonts w:asciiTheme="minorHAnsi" w:hAnsiTheme="minorHAnsi" w:cs="Arial"/>
          <w:sz w:val="22"/>
          <w:szCs w:val="22"/>
        </w:rPr>
        <w:t>. This system utilizes fluorescently labeled microbeads that are conjugated with a specific reagent (</w:t>
      </w:r>
      <w:proofErr w:type="spellStart"/>
      <w:r w:rsidRPr="009B6FE6">
        <w:rPr>
          <w:rFonts w:asciiTheme="minorHAnsi" w:hAnsiTheme="minorHAnsi" w:cs="Arial"/>
          <w:sz w:val="22"/>
          <w:szCs w:val="22"/>
        </w:rPr>
        <w:t>eg</w:t>
      </w:r>
      <w:proofErr w:type="spellEnd"/>
      <w:r w:rsidRPr="009B6FE6">
        <w:rPr>
          <w:rFonts w:asciiTheme="minorHAnsi" w:hAnsiTheme="minorHAnsi" w:cs="Arial"/>
          <w:sz w:val="22"/>
          <w:szCs w:val="22"/>
        </w:rPr>
        <w:t xml:space="preserve">, antibody, antigen, enzyme substrate, etc.) </w:t>
      </w:r>
      <w:r w:rsidR="00407F75">
        <w:rPr>
          <w:rFonts w:asciiTheme="minorHAnsi" w:hAnsiTheme="minorHAnsi" w:cs="Arial"/>
          <w:sz w:val="22"/>
          <w:szCs w:val="22"/>
        </w:rPr>
        <w:t xml:space="preserve">to </w:t>
      </w:r>
      <w:r w:rsidRPr="009B6FE6">
        <w:rPr>
          <w:rFonts w:asciiTheme="minorHAnsi" w:hAnsiTheme="minorHAnsi" w:cs="Arial"/>
          <w:sz w:val="22"/>
          <w:szCs w:val="22"/>
        </w:rPr>
        <w:t xml:space="preserve">enable capture and detection of </w:t>
      </w:r>
      <w:proofErr w:type="spellStart"/>
      <w:r w:rsidRPr="009B6FE6">
        <w:rPr>
          <w:rFonts w:asciiTheme="minorHAnsi" w:hAnsiTheme="minorHAnsi" w:cs="Arial"/>
          <w:sz w:val="22"/>
          <w:szCs w:val="22"/>
        </w:rPr>
        <w:t>analytes</w:t>
      </w:r>
      <w:proofErr w:type="spellEnd"/>
      <w:r w:rsidRPr="009B6FE6">
        <w:rPr>
          <w:rFonts w:asciiTheme="minorHAnsi" w:hAnsiTheme="minorHAnsi" w:cs="Arial"/>
          <w:sz w:val="22"/>
          <w:szCs w:val="22"/>
        </w:rPr>
        <w:t xml:space="preserve"> of interest. The Luminex 200 is equipped with 2 lasers: a 635nm classification laser for excitation of fluorescently-labeled microbeads and a 532nm reporter laser for excitation of the </w:t>
      </w:r>
      <w:proofErr w:type="spellStart"/>
      <w:r w:rsidRPr="009B6FE6">
        <w:rPr>
          <w:rFonts w:asciiTheme="minorHAnsi" w:hAnsiTheme="minorHAnsi" w:cs="Arial"/>
          <w:sz w:val="22"/>
          <w:szCs w:val="22"/>
        </w:rPr>
        <w:t>analyte</w:t>
      </w:r>
      <w:proofErr w:type="spellEnd"/>
      <w:r w:rsidRPr="009B6FE6">
        <w:rPr>
          <w:rFonts w:asciiTheme="minorHAnsi" w:hAnsiTheme="minorHAnsi" w:cs="Arial"/>
          <w:sz w:val="22"/>
          <w:szCs w:val="22"/>
        </w:rPr>
        <w:t xml:space="preserve"> signal. The Luminex 200 has a dynamic range typically ≥ 3.5 logs. A handheld magnetic plate washer, microtiter plate shaker, bath </w:t>
      </w:r>
      <w:proofErr w:type="spellStart"/>
      <w:r w:rsidRPr="009B6FE6">
        <w:rPr>
          <w:rFonts w:asciiTheme="minorHAnsi" w:hAnsiTheme="minorHAnsi" w:cs="Arial"/>
          <w:sz w:val="22"/>
          <w:szCs w:val="22"/>
        </w:rPr>
        <w:lastRenderedPageBreak/>
        <w:t>sonicator</w:t>
      </w:r>
      <w:proofErr w:type="spellEnd"/>
      <w:r w:rsidRPr="009B6FE6">
        <w:rPr>
          <w:rFonts w:asciiTheme="minorHAnsi" w:hAnsiTheme="minorHAnsi" w:cs="Arial"/>
          <w:sz w:val="22"/>
          <w:szCs w:val="22"/>
        </w:rPr>
        <w:t xml:space="preserve">, and </w:t>
      </w:r>
      <w:proofErr w:type="spellStart"/>
      <w:r w:rsidRPr="009B6FE6">
        <w:rPr>
          <w:rFonts w:asciiTheme="minorHAnsi" w:hAnsiTheme="minorHAnsi" w:cs="Arial"/>
          <w:sz w:val="22"/>
          <w:szCs w:val="22"/>
        </w:rPr>
        <w:t>vortexer</w:t>
      </w:r>
      <w:proofErr w:type="spellEnd"/>
      <w:r w:rsidRPr="009B6FE6">
        <w:rPr>
          <w:rFonts w:asciiTheme="minorHAnsi" w:hAnsiTheme="minorHAnsi" w:cs="Arial"/>
          <w:sz w:val="22"/>
          <w:szCs w:val="22"/>
        </w:rPr>
        <w:t xml:space="preserve"> are available in the Core Facilities to enable multiplex assay performance. Operation of the system and data analysis are performed using the Luminex </w:t>
      </w:r>
      <w:proofErr w:type="spellStart"/>
      <w:r w:rsidRPr="009B6FE6">
        <w:rPr>
          <w:rFonts w:asciiTheme="minorHAnsi" w:hAnsiTheme="minorHAnsi" w:cs="Arial"/>
          <w:sz w:val="22"/>
          <w:szCs w:val="22"/>
        </w:rPr>
        <w:t>XPonent</w:t>
      </w:r>
      <w:proofErr w:type="spellEnd"/>
      <w:r w:rsidRPr="009B6FE6">
        <w:rPr>
          <w:rFonts w:asciiTheme="minorHAnsi" w:hAnsiTheme="minorHAnsi" w:cs="Arial"/>
          <w:sz w:val="22"/>
          <w:szCs w:val="22"/>
        </w:rPr>
        <w:t xml:space="preserve"> Software. Commercially available and custom multiplex kits can be utilized to quantify mouse, rat, and human protein expression (</w:t>
      </w:r>
      <w:proofErr w:type="spellStart"/>
      <w:r w:rsidRPr="009B6FE6">
        <w:rPr>
          <w:rFonts w:asciiTheme="minorHAnsi" w:hAnsiTheme="minorHAnsi" w:cs="Arial"/>
          <w:sz w:val="22"/>
          <w:szCs w:val="22"/>
        </w:rPr>
        <w:t>ie</w:t>
      </w:r>
      <w:proofErr w:type="spellEnd"/>
      <w:r w:rsidRPr="009B6FE6">
        <w:rPr>
          <w:rFonts w:asciiTheme="minorHAnsi" w:hAnsiTheme="minorHAnsi" w:cs="Arial"/>
          <w:sz w:val="22"/>
          <w:szCs w:val="22"/>
        </w:rPr>
        <w:t>, cytokines, growth factors, phosphoproteins, etc.) in a variety of samples types (</w:t>
      </w:r>
      <w:proofErr w:type="spellStart"/>
      <w:r w:rsidRPr="009B6FE6">
        <w:rPr>
          <w:rFonts w:asciiTheme="minorHAnsi" w:hAnsiTheme="minorHAnsi" w:cs="Arial"/>
          <w:sz w:val="22"/>
          <w:szCs w:val="22"/>
        </w:rPr>
        <w:t>ie</w:t>
      </w:r>
      <w:proofErr w:type="spellEnd"/>
      <w:r w:rsidRPr="009B6FE6">
        <w:rPr>
          <w:rFonts w:asciiTheme="minorHAnsi" w:hAnsiTheme="minorHAnsi" w:cs="Arial"/>
          <w:sz w:val="22"/>
          <w:szCs w:val="22"/>
        </w:rPr>
        <w:t xml:space="preserve">, cell culture media, plasma, serum, BALF, </w:t>
      </w:r>
      <w:r w:rsidR="00407F75">
        <w:rPr>
          <w:rFonts w:asciiTheme="minorHAnsi" w:hAnsiTheme="minorHAnsi" w:cs="Arial"/>
          <w:sz w:val="22"/>
          <w:szCs w:val="22"/>
        </w:rPr>
        <w:t xml:space="preserve">cell lysates, </w:t>
      </w:r>
      <w:r w:rsidRPr="009B6FE6">
        <w:rPr>
          <w:rFonts w:asciiTheme="minorHAnsi" w:hAnsiTheme="minorHAnsi" w:cs="Arial"/>
          <w:sz w:val="22"/>
          <w:szCs w:val="22"/>
        </w:rPr>
        <w:t>etc.). In addition to immunoassays, the platform can be used for enzyme assays, genotyping, gene expression analysis</w:t>
      </w:r>
      <w:r w:rsidR="00407F75">
        <w:rPr>
          <w:rFonts w:asciiTheme="minorHAnsi" w:hAnsiTheme="minorHAnsi" w:cs="Arial"/>
          <w:sz w:val="22"/>
          <w:szCs w:val="22"/>
        </w:rPr>
        <w:t xml:space="preserve"> (</w:t>
      </w:r>
      <w:proofErr w:type="spellStart"/>
      <w:r w:rsidR="00407F75" w:rsidRPr="00407F75">
        <w:rPr>
          <w:rFonts w:asciiTheme="minorHAnsi" w:hAnsiTheme="minorHAnsi" w:cs="Arial"/>
          <w:i/>
          <w:sz w:val="22"/>
          <w:szCs w:val="22"/>
        </w:rPr>
        <w:t>Quantigene</w:t>
      </w:r>
      <w:proofErr w:type="spellEnd"/>
      <w:r w:rsidR="00407F75" w:rsidRPr="00407F75">
        <w:rPr>
          <w:rFonts w:asciiTheme="minorHAnsi" w:hAnsiTheme="minorHAnsi" w:cs="Arial"/>
          <w:i/>
          <w:sz w:val="22"/>
          <w:szCs w:val="22"/>
        </w:rPr>
        <w:t xml:space="preserve">, </w:t>
      </w:r>
      <w:proofErr w:type="spellStart"/>
      <w:r w:rsidR="00407F75" w:rsidRPr="00407F75">
        <w:rPr>
          <w:rFonts w:asciiTheme="minorHAnsi" w:hAnsiTheme="minorHAnsi" w:cs="Arial"/>
          <w:i/>
          <w:sz w:val="22"/>
          <w:szCs w:val="22"/>
        </w:rPr>
        <w:t>ThermoFisher</w:t>
      </w:r>
      <w:proofErr w:type="spellEnd"/>
      <w:r w:rsidR="00407F75">
        <w:rPr>
          <w:rFonts w:asciiTheme="minorHAnsi" w:hAnsiTheme="minorHAnsi" w:cs="Arial"/>
          <w:sz w:val="22"/>
          <w:szCs w:val="22"/>
        </w:rPr>
        <w:t>)</w:t>
      </w:r>
      <w:r w:rsidRPr="009B6FE6">
        <w:rPr>
          <w:rFonts w:asciiTheme="minorHAnsi" w:hAnsiTheme="minorHAnsi" w:cs="Arial"/>
          <w:sz w:val="22"/>
          <w:szCs w:val="22"/>
        </w:rPr>
        <w:t xml:space="preserve">, or assessment of protein-protein interactions. The Luminex 200 </w:t>
      </w:r>
      <w:r w:rsidR="00407F75" w:rsidRPr="009B6FE6">
        <w:rPr>
          <w:rFonts w:asciiTheme="minorHAnsi" w:hAnsiTheme="minorHAnsi" w:cs="Arial"/>
          <w:sz w:val="22"/>
          <w:szCs w:val="22"/>
        </w:rPr>
        <w:t xml:space="preserve">is located in </w:t>
      </w:r>
      <w:r w:rsidR="00407F75">
        <w:rPr>
          <w:rFonts w:asciiTheme="minorHAnsi" w:hAnsiTheme="minorHAnsi" w:cs="Arial"/>
          <w:sz w:val="22"/>
          <w:szCs w:val="22"/>
        </w:rPr>
        <w:t>the MSU South Campus Flow Cytometry Core (Room 2521, IQ Building).</w:t>
      </w:r>
    </w:p>
    <w:sectPr w:rsidR="009B6FE6" w:rsidRPr="00C6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E6"/>
    <w:rsid w:val="000703E7"/>
    <w:rsid w:val="00407F75"/>
    <w:rsid w:val="0077053F"/>
    <w:rsid w:val="00863509"/>
    <w:rsid w:val="009B6FE6"/>
    <w:rsid w:val="00A43930"/>
    <w:rsid w:val="00AA191E"/>
    <w:rsid w:val="00B852A0"/>
    <w:rsid w:val="00C623CA"/>
    <w:rsid w:val="00E9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D3C69-59FC-43C5-BE9C-FD70BFD5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E6"/>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2A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849">
      <w:bodyDiv w:val="1"/>
      <w:marLeft w:val="0"/>
      <w:marRight w:val="0"/>
      <w:marTop w:val="0"/>
      <w:marBottom w:val="0"/>
      <w:divBdr>
        <w:top w:val="none" w:sz="0" w:space="0" w:color="auto"/>
        <w:left w:val="none" w:sz="0" w:space="0" w:color="auto"/>
        <w:bottom w:val="none" w:sz="0" w:space="0" w:color="auto"/>
        <w:right w:val="none" w:sz="0" w:space="0" w:color="auto"/>
      </w:divBdr>
    </w:div>
    <w:div w:id="19307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Matthew</dc:creator>
  <cp:keywords/>
  <dc:description/>
  <cp:lastModifiedBy>Bernard, Matthew</cp:lastModifiedBy>
  <cp:revision>2</cp:revision>
  <dcterms:created xsi:type="dcterms:W3CDTF">2018-10-08T19:49:00Z</dcterms:created>
  <dcterms:modified xsi:type="dcterms:W3CDTF">2018-10-08T19:49:00Z</dcterms:modified>
</cp:coreProperties>
</file>