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AD42" w14:textId="77777777" w:rsidR="002E7F01" w:rsidRPr="00683DB6" w:rsidRDefault="002E7F01" w:rsidP="002E7F01">
      <w:pPr>
        <w:spacing w:after="0"/>
        <w:rPr>
          <w:sz w:val="24"/>
          <w:szCs w:val="24"/>
        </w:rPr>
      </w:pPr>
    </w:p>
    <w:p w14:paraId="301FBFBA" w14:textId="77777777" w:rsidR="00711056" w:rsidRPr="003F0314" w:rsidRDefault="00711056" w:rsidP="00711056"/>
    <w:p w14:paraId="4D0B1B0F" w14:textId="77777777" w:rsidR="002E7F01" w:rsidRPr="008D1FB2" w:rsidRDefault="002E7F01" w:rsidP="002E7F01">
      <w:pPr>
        <w:rPr>
          <w:rFonts w:ascii="Arial" w:hAnsi="Arial"/>
        </w:rPr>
      </w:pPr>
      <w:r w:rsidRPr="00365A3E">
        <w:rPr>
          <w:rFonts w:ascii="Arial" w:hAnsi="Arial"/>
          <w:highlight w:val="yellow"/>
        </w:rPr>
        <w:fldChar w:fldCharType="begin"/>
      </w:r>
      <w:r w:rsidRPr="00365A3E">
        <w:rPr>
          <w:rFonts w:ascii="Arial" w:hAnsi="Arial"/>
          <w:highlight w:val="yellow"/>
        </w:rPr>
        <w:instrText xml:space="preserve"> DATE \@ "MMMM d, yyyy" </w:instrText>
      </w:r>
      <w:r w:rsidRPr="00365A3E">
        <w:rPr>
          <w:rFonts w:ascii="Arial" w:hAnsi="Arial"/>
          <w:highlight w:val="yellow"/>
        </w:rPr>
        <w:fldChar w:fldCharType="separate"/>
      </w:r>
      <w:r w:rsidR="00991C6E">
        <w:rPr>
          <w:rFonts w:ascii="Arial" w:hAnsi="Arial"/>
          <w:noProof/>
          <w:highlight w:val="yellow"/>
        </w:rPr>
        <w:t>September 15, 2021</w:t>
      </w:r>
      <w:r w:rsidRPr="00365A3E">
        <w:rPr>
          <w:rFonts w:ascii="Arial" w:hAnsi="Arial"/>
          <w:highlight w:val="yellow"/>
        </w:rPr>
        <w:fldChar w:fldCharType="end"/>
      </w:r>
    </w:p>
    <w:p w14:paraId="3E19FC25" w14:textId="12C9CAE1" w:rsidR="002E7F01" w:rsidRPr="008D1FB2" w:rsidRDefault="00991C6E" w:rsidP="002E7F01">
      <w:pPr>
        <w:spacing w:after="0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>Your Name, Title</w:t>
      </w:r>
    </w:p>
    <w:p w14:paraId="05EAEE4A" w14:textId="77777777" w:rsidR="005C30FB" w:rsidRPr="008D1FB2" w:rsidRDefault="005C30FB" w:rsidP="002E7F01">
      <w:pPr>
        <w:spacing w:after="0"/>
        <w:rPr>
          <w:rFonts w:ascii="Arial" w:hAnsi="Arial"/>
          <w:highlight w:val="yellow"/>
        </w:rPr>
      </w:pPr>
      <w:r w:rsidRPr="008D1FB2">
        <w:rPr>
          <w:rFonts w:ascii="Arial" w:hAnsi="Arial"/>
          <w:highlight w:val="yellow"/>
        </w:rPr>
        <w:t>Department</w:t>
      </w:r>
    </w:p>
    <w:p w14:paraId="20C42E01" w14:textId="77777777" w:rsidR="00372190" w:rsidRPr="008D1FB2" w:rsidRDefault="005C30FB" w:rsidP="002E7F01">
      <w:pPr>
        <w:spacing w:after="0"/>
        <w:rPr>
          <w:rFonts w:ascii="Arial" w:hAnsi="Arial"/>
          <w:highlight w:val="yellow"/>
        </w:rPr>
      </w:pPr>
      <w:r w:rsidRPr="008D1FB2">
        <w:rPr>
          <w:rFonts w:ascii="Arial" w:hAnsi="Arial"/>
          <w:highlight w:val="yellow"/>
        </w:rPr>
        <w:t>Address</w:t>
      </w:r>
    </w:p>
    <w:p w14:paraId="21259AC8" w14:textId="77777777" w:rsidR="002E7F01" w:rsidRPr="008D1FB2" w:rsidRDefault="002E7F01" w:rsidP="002E7F01">
      <w:pPr>
        <w:spacing w:after="0"/>
        <w:rPr>
          <w:rFonts w:ascii="Arial" w:hAnsi="Arial"/>
        </w:rPr>
      </w:pPr>
      <w:r w:rsidRPr="008D1FB2">
        <w:rPr>
          <w:rFonts w:ascii="Arial" w:hAnsi="Arial"/>
        </w:rPr>
        <w:t>East Lansing, MI 48824</w:t>
      </w:r>
    </w:p>
    <w:p w14:paraId="3AAFA9E5" w14:textId="77777777" w:rsidR="002E7F01" w:rsidRPr="008D1FB2" w:rsidRDefault="002E7F01" w:rsidP="002E7F01">
      <w:pPr>
        <w:rPr>
          <w:rFonts w:ascii="Arial" w:hAnsi="Arial"/>
        </w:rPr>
      </w:pPr>
    </w:p>
    <w:p w14:paraId="00159BB9" w14:textId="77777777" w:rsidR="002E7F01" w:rsidRPr="008D1FB2" w:rsidRDefault="002E7F01" w:rsidP="002E7F01">
      <w:pPr>
        <w:rPr>
          <w:rFonts w:ascii="Arial" w:hAnsi="Arial"/>
        </w:rPr>
      </w:pPr>
      <w:r w:rsidRPr="008D1FB2">
        <w:rPr>
          <w:rFonts w:ascii="Arial" w:hAnsi="Arial"/>
        </w:rPr>
        <w:t>Dear Dr.</w:t>
      </w:r>
      <w:r w:rsidR="00372190" w:rsidRPr="008D1FB2">
        <w:rPr>
          <w:rFonts w:ascii="Arial" w:hAnsi="Arial"/>
        </w:rPr>
        <w:t xml:space="preserve"> </w:t>
      </w:r>
      <w:r w:rsidR="00D15A80" w:rsidRPr="00D15A80">
        <w:rPr>
          <w:rFonts w:ascii="Arial" w:hAnsi="Arial"/>
          <w:highlight w:val="yellow"/>
        </w:rPr>
        <w:t>xxx</w:t>
      </w:r>
      <w:r w:rsidRPr="008D1FB2">
        <w:rPr>
          <w:rFonts w:ascii="Arial" w:hAnsi="Arial"/>
        </w:rPr>
        <w:t>,</w:t>
      </w:r>
    </w:p>
    <w:p w14:paraId="5803C067" w14:textId="77777777" w:rsidR="002E7F01" w:rsidRPr="008D1FB2" w:rsidRDefault="002E7F01" w:rsidP="002E7F01">
      <w:pPr>
        <w:jc w:val="both"/>
        <w:rPr>
          <w:rFonts w:ascii="Arial" w:hAnsi="Arial"/>
        </w:rPr>
      </w:pPr>
      <w:r w:rsidRPr="008D1FB2">
        <w:rPr>
          <w:rFonts w:ascii="Arial" w:hAnsi="Arial"/>
        </w:rPr>
        <w:t>We are delighted to collaborate with you thr</w:t>
      </w:r>
      <w:r w:rsidR="004C4DED">
        <w:rPr>
          <w:rFonts w:ascii="Arial" w:hAnsi="Arial"/>
        </w:rPr>
        <w:t>ough the MSU Medicinal Chemistry Core</w:t>
      </w:r>
      <w:r w:rsidRPr="008D1FB2">
        <w:rPr>
          <w:rFonts w:ascii="Arial" w:hAnsi="Arial"/>
        </w:rPr>
        <w:t xml:space="preserve"> on your </w:t>
      </w:r>
      <w:proofErr w:type="gramStart"/>
      <w:r w:rsidR="00D15A80" w:rsidRPr="00D15A80">
        <w:rPr>
          <w:rFonts w:ascii="Arial" w:hAnsi="Arial"/>
          <w:highlight w:val="yellow"/>
        </w:rPr>
        <w:t>xxx</w:t>
      </w:r>
      <w:r w:rsidR="00372190" w:rsidRPr="008D1FB2">
        <w:rPr>
          <w:rFonts w:ascii="Arial" w:hAnsi="Arial"/>
        </w:rPr>
        <w:t xml:space="preserve"> </w:t>
      </w:r>
      <w:r w:rsidRPr="008D1FB2">
        <w:rPr>
          <w:rFonts w:ascii="Arial" w:hAnsi="Arial"/>
        </w:rPr>
        <w:t>grant</w:t>
      </w:r>
      <w:proofErr w:type="gramEnd"/>
      <w:r w:rsidRPr="008D1FB2">
        <w:rPr>
          <w:rFonts w:ascii="Arial" w:hAnsi="Arial"/>
        </w:rPr>
        <w:t xml:space="preserve"> entitled “</w:t>
      </w:r>
      <w:proofErr w:type="spellStart"/>
      <w:sdt>
        <w:sdtPr>
          <w:rPr>
            <w:rFonts w:ascii="Arial" w:hAnsi="Arial"/>
            <w:highlight w:val="yellow"/>
          </w:rPr>
          <w:id w:val="1592891291"/>
          <w:placeholder>
            <w:docPart w:val="DefaultPlaceholder_1082065158"/>
          </w:placeholder>
          <w:text/>
        </w:sdtPr>
        <w:sdtEndPr/>
        <w:sdtContent>
          <w:r w:rsidR="00D15A80" w:rsidRPr="00D15A80">
            <w:rPr>
              <w:rFonts w:ascii="Arial" w:hAnsi="Arial"/>
              <w:highlight w:val="yellow"/>
            </w:rPr>
            <w:t>xxxxx</w:t>
          </w:r>
          <w:proofErr w:type="spellEnd"/>
        </w:sdtContent>
      </w:sdt>
      <w:r w:rsidRPr="008D1FB2">
        <w:rPr>
          <w:rFonts w:ascii="Arial" w:hAnsi="Arial"/>
        </w:rPr>
        <w:t xml:space="preserve">”. </w:t>
      </w:r>
    </w:p>
    <w:p w14:paraId="22F9121A" w14:textId="77777777" w:rsidR="002E7F01" w:rsidRPr="008D1FB2" w:rsidRDefault="004C4DED" w:rsidP="002E7F0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Medicinal Chemistry Core is fully equipped and has the expertise to </w:t>
      </w:r>
      <w:r w:rsidR="002E7F01" w:rsidRPr="008D1FB2">
        <w:rPr>
          <w:rFonts w:ascii="Arial" w:hAnsi="Arial"/>
        </w:rPr>
        <w:t>assist</w:t>
      </w:r>
      <w:r>
        <w:rPr>
          <w:rFonts w:ascii="Arial" w:hAnsi="Arial"/>
        </w:rPr>
        <w:t xml:space="preserve"> faculty with chemical biology, </w:t>
      </w:r>
      <w:r w:rsidR="002E7F01" w:rsidRPr="008D1FB2">
        <w:rPr>
          <w:rFonts w:ascii="Arial" w:hAnsi="Arial"/>
        </w:rPr>
        <w:t>high-throughput</w:t>
      </w:r>
      <w:r>
        <w:rPr>
          <w:rFonts w:ascii="Arial" w:hAnsi="Arial"/>
        </w:rPr>
        <w:t xml:space="preserve"> outcome triage, lead development, template hopping, structure activity relationship (SAR) development, structure-based design, route development and scale-up.</w:t>
      </w:r>
      <w:r w:rsidR="001A032B">
        <w:rPr>
          <w:rFonts w:ascii="Arial" w:hAnsi="Arial"/>
        </w:rPr>
        <w:t xml:space="preserve">  The lab also supports microsomal stability and kinetic solubility measurements.</w:t>
      </w:r>
      <w:r>
        <w:rPr>
          <w:rFonts w:ascii="Arial" w:hAnsi="Arial"/>
        </w:rPr>
        <w:t xml:space="preserve"> </w:t>
      </w:r>
      <w:r w:rsidR="002E7F01" w:rsidRPr="008D1FB2">
        <w:rPr>
          <w:rFonts w:ascii="Arial" w:hAnsi="Arial"/>
        </w:rPr>
        <w:t xml:space="preserve"> Th</w:t>
      </w:r>
      <w:r>
        <w:rPr>
          <w:rFonts w:ascii="Arial" w:hAnsi="Arial"/>
        </w:rPr>
        <w:t>e equipment</w:t>
      </w:r>
      <w:r w:rsidR="002E7F01" w:rsidRPr="008D1FB2">
        <w:rPr>
          <w:rFonts w:ascii="Arial" w:hAnsi="Arial"/>
        </w:rPr>
        <w:t xml:space="preserve"> and other capabilities are outlined in the appendix below.</w:t>
      </w:r>
    </w:p>
    <w:p w14:paraId="48383906" w14:textId="77777777" w:rsidR="00365A3E" w:rsidRDefault="001748E3" w:rsidP="002E7F01">
      <w:pPr>
        <w:jc w:val="both"/>
        <w:rPr>
          <w:rFonts w:ascii="Arial" w:hAnsi="Arial"/>
        </w:rPr>
      </w:pPr>
      <w:r>
        <w:rPr>
          <w:rFonts w:ascii="Arial" w:hAnsi="Arial"/>
        </w:rPr>
        <w:t>The Medicinal Chemistry Core</w:t>
      </w:r>
      <w:r w:rsidR="00120AA8">
        <w:rPr>
          <w:rFonts w:ascii="Arial" w:hAnsi="Arial"/>
        </w:rPr>
        <w:t xml:space="preserve"> was established</w:t>
      </w:r>
      <w:r w:rsidR="002E7F01" w:rsidRPr="008D1FB2">
        <w:rPr>
          <w:rFonts w:ascii="Arial" w:hAnsi="Arial"/>
        </w:rPr>
        <w:t xml:space="preserve"> with</w:t>
      </w:r>
      <w:r w:rsidR="00D813FC">
        <w:rPr>
          <w:rFonts w:ascii="Arial" w:hAnsi="Arial"/>
        </w:rPr>
        <w:t xml:space="preserve"> the</w:t>
      </w:r>
      <w:r w:rsidR="002E7F01" w:rsidRPr="008D1FB2">
        <w:rPr>
          <w:rFonts w:ascii="Arial" w:hAnsi="Arial"/>
        </w:rPr>
        <w:t xml:space="preserve"> support of multiple units a</w:t>
      </w:r>
      <w:r>
        <w:rPr>
          <w:rFonts w:ascii="Arial" w:hAnsi="Arial"/>
        </w:rPr>
        <w:t>t MSU to assist researchers to bridge</w:t>
      </w:r>
      <w:r w:rsidR="002E7F01" w:rsidRPr="008D1FB2">
        <w:rPr>
          <w:rFonts w:ascii="Arial" w:hAnsi="Arial"/>
        </w:rPr>
        <w:t xml:space="preserve"> the drug discovery gap</w:t>
      </w:r>
      <w:r w:rsidR="00120AA8">
        <w:rPr>
          <w:rFonts w:ascii="Arial" w:hAnsi="Arial"/>
        </w:rPr>
        <w:t xml:space="preserve"> that often exists between</w:t>
      </w:r>
      <w:r w:rsidR="002E7F01" w:rsidRPr="008D1FB2">
        <w:rPr>
          <w:rFonts w:ascii="Arial" w:hAnsi="Arial"/>
        </w:rPr>
        <w:t xml:space="preserve"> basic research and preclinical drug development</w:t>
      </w:r>
      <w:r w:rsidR="00120AA8">
        <w:rPr>
          <w:rFonts w:ascii="Arial" w:hAnsi="Arial"/>
        </w:rPr>
        <w:t xml:space="preserve"> or other commercial applications</w:t>
      </w:r>
      <w:r w:rsidR="002E7F01" w:rsidRPr="008D1FB2">
        <w:rPr>
          <w:rFonts w:ascii="Arial" w:hAnsi="Arial"/>
        </w:rPr>
        <w:t xml:space="preserve">. </w:t>
      </w:r>
    </w:p>
    <w:p w14:paraId="2FF08342" w14:textId="77777777" w:rsidR="002E7F01" w:rsidRPr="008D1FB2" w:rsidRDefault="00365A3E" w:rsidP="002E7F01">
      <w:pPr>
        <w:jc w:val="both"/>
        <w:rPr>
          <w:rFonts w:ascii="Arial" w:hAnsi="Arial"/>
        </w:rPr>
      </w:pPr>
      <w:r>
        <w:rPr>
          <w:rFonts w:ascii="Arial" w:hAnsi="Arial"/>
        </w:rPr>
        <w:t>The primary mission of the Medi</w:t>
      </w:r>
      <w:r w:rsidR="001748E3">
        <w:rPr>
          <w:rFonts w:ascii="Arial" w:hAnsi="Arial"/>
        </w:rPr>
        <w:t>cinal Chemistry Core is to serve</w:t>
      </w:r>
      <w:r w:rsidR="002E7F01" w:rsidRPr="008D1FB2">
        <w:rPr>
          <w:rFonts w:ascii="Arial" w:hAnsi="Arial"/>
        </w:rPr>
        <w:t xml:space="preserve"> as a campus-wide resource, providing MSU investigators with expert consultation</w:t>
      </w:r>
      <w:r w:rsidR="00EC77DA">
        <w:rPr>
          <w:rFonts w:ascii="Arial" w:hAnsi="Arial"/>
        </w:rPr>
        <w:t xml:space="preserve"> on all aspects of</w:t>
      </w:r>
      <w:r w:rsidR="0088229F">
        <w:rPr>
          <w:rFonts w:ascii="Arial" w:hAnsi="Arial"/>
        </w:rPr>
        <w:t xml:space="preserve"> the preparation, purification and physical properties of</w:t>
      </w:r>
      <w:r w:rsidR="00EC77DA">
        <w:rPr>
          <w:rFonts w:ascii="Arial" w:hAnsi="Arial"/>
        </w:rPr>
        <w:t xml:space="preserve"> chemical </w:t>
      </w:r>
      <w:r w:rsidR="0088229F">
        <w:rPr>
          <w:rFonts w:ascii="Arial" w:hAnsi="Arial"/>
        </w:rPr>
        <w:t>matter. We impact research</w:t>
      </w:r>
      <w:r w:rsidR="002176D4">
        <w:rPr>
          <w:rFonts w:ascii="Arial" w:hAnsi="Arial"/>
        </w:rPr>
        <w:t xml:space="preserve"> in the following areas</w:t>
      </w:r>
      <w:r w:rsidR="0088229F">
        <w:rPr>
          <w:rFonts w:ascii="Arial" w:hAnsi="Arial"/>
        </w:rPr>
        <w:t>:</w:t>
      </w:r>
      <w:r w:rsidR="00D813FC">
        <w:rPr>
          <w:rFonts w:ascii="Arial" w:hAnsi="Arial"/>
        </w:rPr>
        <w:t xml:space="preserve"> screening</w:t>
      </w:r>
      <w:r w:rsidR="00EC77DA">
        <w:rPr>
          <w:rFonts w:ascii="Arial" w:hAnsi="Arial"/>
        </w:rPr>
        <w:t xml:space="preserve"> and target validation</w:t>
      </w:r>
      <w:r w:rsidR="0088229F">
        <w:rPr>
          <w:rFonts w:ascii="Arial" w:hAnsi="Arial"/>
        </w:rPr>
        <w:t>,</w:t>
      </w:r>
      <w:r w:rsidR="00D813FC">
        <w:rPr>
          <w:rFonts w:ascii="Arial" w:hAnsi="Arial"/>
        </w:rPr>
        <w:t xml:space="preserve"> series identification and</w:t>
      </w:r>
      <w:r w:rsidR="00EC77DA">
        <w:rPr>
          <w:rFonts w:ascii="Arial" w:hAnsi="Arial"/>
        </w:rPr>
        <w:t xml:space="preserve"> </w:t>
      </w:r>
      <w:r w:rsidR="0088229F">
        <w:rPr>
          <w:rFonts w:ascii="Arial" w:hAnsi="Arial"/>
        </w:rPr>
        <w:t xml:space="preserve">SAR </w:t>
      </w:r>
      <w:r w:rsidR="00EC77DA">
        <w:rPr>
          <w:rFonts w:ascii="Arial" w:hAnsi="Arial"/>
        </w:rPr>
        <w:t>development</w:t>
      </w:r>
      <w:r w:rsidR="0088229F">
        <w:rPr>
          <w:rFonts w:ascii="Arial" w:hAnsi="Arial"/>
        </w:rPr>
        <w:t>, metabolite synthesis,</w:t>
      </w:r>
      <w:r w:rsidR="00EC77DA">
        <w:rPr>
          <w:rFonts w:ascii="Arial" w:hAnsi="Arial"/>
        </w:rPr>
        <w:t xml:space="preserve"> candidate identification</w:t>
      </w:r>
      <w:r w:rsidR="00D813FC">
        <w:rPr>
          <w:rFonts w:ascii="Arial" w:hAnsi="Arial"/>
        </w:rPr>
        <w:t xml:space="preserve"> and scale-up to support in vitro and in vivo efficacy models</w:t>
      </w:r>
      <w:r w:rsidR="00EC77DA">
        <w:rPr>
          <w:rFonts w:ascii="Arial" w:hAnsi="Arial"/>
        </w:rPr>
        <w:t>.</w:t>
      </w:r>
      <w:r w:rsidR="002E7F01" w:rsidRPr="008D1FB2">
        <w:rPr>
          <w:rFonts w:ascii="Arial" w:hAnsi="Arial"/>
        </w:rPr>
        <w:t xml:space="preserve"> </w:t>
      </w:r>
      <w:r w:rsidR="00EC77DA">
        <w:rPr>
          <w:rFonts w:ascii="Arial" w:hAnsi="Arial"/>
        </w:rPr>
        <w:t xml:space="preserve">  </w:t>
      </w:r>
    </w:p>
    <w:p w14:paraId="38E839EB" w14:textId="77777777" w:rsidR="00C16B80" w:rsidRDefault="002E7F01" w:rsidP="002E7F01">
      <w:pPr>
        <w:jc w:val="both"/>
        <w:rPr>
          <w:rFonts w:ascii="Arial" w:hAnsi="Arial"/>
        </w:rPr>
      </w:pPr>
      <w:r w:rsidRPr="008D1FB2">
        <w:rPr>
          <w:rFonts w:ascii="Arial" w:hAnsi="Arial"/>
        </w:rPr>
        <w:t>We</w:t>
      </w:r>
      <w:r w:rsidR="002176D4">
        <w:rPr>
          <w:rFonts w:ascii="Arial" w:hAnsi="Arial"/>
        </w:rPr>
        <w:t xml:space="preserve"> have a breadth of expertise in small molecules, peptides, natural products, and macrolides using </w:t>
      </w:r>
      <w:r w:rsidR="0051665A">
        <w:rPr>
          <w:rFonts w:ascii="Arial" w:hAnsi="Arial"/>
        </w:rPr>
        <w:t xml:space="preserve">modeling, </w:t>
      </w:r>
      <w:proofErr w:type="spellStart"/>
      <w:r w:rsidR="0051665A">
        <w:rPr>
          <w:rFonts w:ascii="Arial" w:hAnsi="Arial"/>
        </w:rPr>
        <w:t>chemoinformatics</w:t>
      </w:r>
      <w:proofErr w:type="spellEnd"/>
      <w:r w:rsidR="0051665A">
        <w:rPr>
          <w:rFonts w:ascii="Arial" w:hAnsi="Arial"/>
        </w:rPr>
        <w:t xml:space="preserve">, traditional synthesis strategies and parallel medicinal chemistry methods. </w:t>
      </w:r>
      <w:r w:rsidRPr="008D1FB2">
        <w:rPr>
          <w:rFonts w:ascii="Arial" w:hAnsi="Arial"/>
        </w:rPr>
        <w:t xml:space="preserve"> </w:t>
      </w:r>
    </w:p>
    <w:p w14:paraId="4002B607" w14:textId="77777777" w:rsidR="00AA6984" w:rsidRPr="008D1FB2" w:rsidRDefault="00AA6984" w:rsidP="002E7F01">
      <w:pPr>
        <w:jc w:val="both"/>
        <w:rPr>
          <w:rFonts w:ascii="Arial" w:hAnsi="Arial"/>
        </w:rPr>
      </w:pPr>
      <w:r w:rsidRPr="008D1FB2">
        <w:rPr>
          <w:rFonts w:ascii="Arial" w:hAnsi="Arial"/>
        </w:rPr>
        <w:t>For</w:t>
      </w:r>
      <w:r w:rsidR="00E40A1E">
        <w:rPr>
          <w:rFonts w:ascii="Arial" w:hAnsi="Arial"/>
        </w:rPr>
        <w:t xml:space="preserve"> your project, a</w:t>
      </w:r>
      <w:r w:rsidR="00E40A1E" w:rsidRPr="00E40A1E">
        <w:rPr>
          <w:rFonts w:ascii="Arial" w:hAnsi="Arial"/>
        </w:rPr>
        <w:t xml:space="preserve">s we have discussed, we will assist by </w:t>
      </w:r>
      <w:proofErr w:type="spellStart"/>
      <w:r w:rsidR="00D15A80" w:rsidRPr="00D15A80">
        <w:rPr>
          <w:rFonts w:ascii="Arial" w:hAnsi="Arial"/>
          <w:highlight w:val="yellow"/>
        </w:rPr>
        <w:t>xxxxxx</w:t>
      </w:r>
      <w:proofErr w:type="spellEnd"/>
      <w:r w:rsidR="00E40A1E" w:rsidRPr="00E40A1E">
        <w:rPr>
          <w:rFonts w:ascii="Arial" w:hAnsi="Arial"/>
        </w:rPr>
        <w:t xml:space="preserve"> in Aim </w:t>
      </w:r>
      <w:r w:rsidR="00D15A80" w:rsidRPr="00D15A80">
        <w:rPr>
          <w:rFonts w:ascii="Arial" w:hAnsi="Arial"/>
          <w:highlight w:val="yellow"/>
        </w:rPr>
        <w:t>xxx</w:t>
      </w:r>
      <w:r w:rsidR="00E40A1E" w:rsidRPr="00E40A1E">
        <w:rPr>
          <w:rFonts w:ascii="Arial" w:hAnsi="Arial"/>
        </w:rPr>
        <w:t xml:space="preserve">. Based on the structure of </w:t>
      </w:r>
      <w:proofErr w:type="gramStart"/>
      <w:r w:rsidR="00E40A1E" w:rsidRPr="00E40A1E">
        <w:rPr>
          <w:rFonts w:ascii="Arial" w:hAnsi="Arial"/>
        </w:rPr>
        <w:t>the</w:t>
      </w:r>
      <w:r w:rsidR="00D15A80">
        <w:rPr>
          <w:rFonts w:ascii="Arial" w:hAnsi="Arial"/>
        </w:rPr>
        <w:t xml:space="preserve">  </w:t>
      </w:r>
      <w:proofErr w:type="spellStart"/>
      <w:r w:rsidR="00D15A80" w:rsidRPr="00D15A80">
        <w:rPr>
          <w:rFonts w:ascii="Arial" w:hAnsi="Arial"/>
          <w:highlight w:val="yellow"/>
        </w:rPr>
        <w:t>xxxx</w:t>
      </w:r>
      <w:proofErr w:type="spellEnd"/>
      <w:proofErr w:type="gramEnd"/>
      <w:r w:rsidR="00E40A1E" w:rsidRPr="00E40A1E">
        <w:rPr>
          <w:rFonts w:ascii="Arial" w:hAnsi="Arial"/>
        </w:rPr>
        <w:t>, the synthesis of these compounds should be straightforward."</w:t>
      </w:r>
    </w:p>
    <w:p w14:paraId="430DF339" w14:textId="77777777" w:rsidR="002E7F01" w:rsidRPr="008D1FB2" w:rsidRDefault="002E7F01" w:rsidP="002E7F01">
      <w:pPr>
        <w:jc w:val="both"/>
        <w:rPr>
          <w:rFonts w:ascii="Arial" w:hAnsi="Arial"/>
        </w:rPr>
      </w:pPr>
      <w:r w:rsidRPr="008D1FB2">
        <w:rPr>
          <w:rFonts w:ascii="Arial" w:hAnsi="Arial"/>
        </w:rPr>
        <w:t>We wish you luck with your application and we look forward to a very productive collaboration.</w:t>
      </w:r>
    </w:p>
    <w:p w14:paraId="0938B2E5" w14:textId="77777777" w:rsidR="002E7F01" w:rsidRPr="008D1FB2" w:rsidRDefault="002E7F01" w:rsidP="002E7F01">
      <w:pPr>
        <w:jc w:val="both"/>
        <w:rPr>
          <w:rFonts w:ascii="Arial" w:hAnsi="Arial"/>
        </w:rPr>
      </w:pPr>
    </w:p>
    <w:p w14:paraId="5F339EDB" w14:textId="77777777" w:rsidR="002E7F01" w:rsidRPr="008D1FB2" w:rsidRDefault="002E7F01" w:rsidP="002E7F01">
      <w:pPr>
        <w:jc w:val="both"/>
        <w:rPr>
          <w:rFonts w:ascii="Arial" w:hAnsi="Arial"/>
        </w:rPr>
      </w:pPr>
      <w:r w:rsidRPr="008D1FB2">
        <w:rPr>
          <w:rFonts w:ascii="Arial" w:hAnsi="Arial"/>
        </w:rPr>
        <w:t>Sincerely,</w:t>
      </w:r>
    </w:p>
    <w:p w14:paraId="5A622314" w14:textId="77777777" w:rsidR="002E7F01" w:rsidRPr="008D1FB2" w:rsidRDefault="002E7F01" w:rsidP="002E7F01">
      <w:pPr>
        <w:jc w:val="both"/>
        <w:rPr>
          <w:rFonts w:ascii="Arial" w:hAnsi="Arial"/>
        </w:rPr>
      </w:pPr>
    </w:p>
    <w:p w14:paraId="01E8A936" w14:textId="77777777" w:rsidR="002E7F01" w:rsidRPr="008D1FB2" w:rsidRDefault="002E7F01" w:rsidP="002E7F01">
      <w:pPr>
        <w:jc w:val="both"/>
        <w:rPr>
          <w:rFonts w:ascii="Arial" w:hAnsi="Arial"/>
        </w:rPr>
      </w:pPr>
    </w:p>
    <w:p w14:paraId="55B02228" w14:textId="77777777" w:rsidR="002E7F01" w:rsidRPr="008D1FB2" w:rsidRDefault="004C4DED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Edmund Ellsworth</w:t>
      </w:r>
      <w:r w:rsidR="002E7F01" w:rsidRPr="008D1FB2">
        <w:rPr>
          <w:rFonts w:ascii="Arial" w:hAnsi="Arial"/>
        </w:rPr>
        <w:t>, Ph.D.</w:t>
      </w:r>
    </w:p>
    <w:p w14:paraId="611B3272" w14:textId="77777777" w:rsidR="002E7F01" w:rsidRDefault="004C4DED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Director</w:t>
      </w:r>
      <w:r w:rsidR="001748E3">
        <w:rPr>
          <w:rFonts w:ascii="Arial" w:hAnsi="Arial"/>
        </w:rPr>
        <w:t xml:space="preserve">, </w:t>
      </w:r>
      <w:r>
        <w:rPr>
          <w:rFonts w:ascii="Arial" w:hAnsi="Arial"/>
        </w:rPr>
        <w:t>Medicinal Chemistry</w:t>
      </w:r>
      <w:r w:rsidR="002E7F01" w:rsidRPr="008D1FB2">
        <w:rPr>
          <w:rFonts w:ascii="Arial" w:hAnsi="Arial"/>
        </w:rPr>
        <w:t xml:space="preserve"> Core</w:t>
      </w:r>
    </w:p>
    <w:p w14:paraId="6B6B2F0E" w14:textId="77777777" w:rsidR="004C4DED" w:rsidRDefault="001748E3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Professor of Medicinal Chemistry</w:t>
      </w:r>
    </w:p>
    <w:p w14:paraId="09F91EA8" w14:textId="77777777" w:rsidR="001748E3" w:rsidRPr="008D1FB2" w:rsidRDefault="001748E3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Department of Pharmacology &amp; Toxicology</w:t>
      </w:r>
    </w:p>
    <w:p w14:paraId="3519BC2B" w14:textId="77777777" w:rsidR="002E7F01" w:rsidRPr="008D1FB2" w:rsidRDefault="002E7F01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  <w:r w:rsidRPr="008D1FB2">
        <w:rPr>
          <w:rFonts w:ascii="Arial" w:hAnsi="Arial"/>
        </w:rPr>
        <w:t>Michigan State University</w:t>
      </w:r>
    </w:p>
    <w:p w14:paraId="37548CBF" w14:textId="77777777" w:rsidR="002E7F01" w:rsidRPr="008D1FB2" w:rsidRDefault="002E7F01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</w:p>
    <w:p w14:paraId="41A84E08" w14:textId="77777777" w:rsidR="002E7F01" w:rsidRPr="008D1FB2" w:rsidRDefault="002E7F01" w:rsidP="002E7F01">
      <w:pPr>
        <w:tabs>
          <w:tab w:val="left" w:pos="5040"/>
        </w:tabs>
        <w:spacing w:after="0"/>
        <w:jc w:val="both"/>
        <w:rPr>
          <w:rFonts w:ascii="Arial" w:hAnsi="Arial"/>
        </w:rPr>
      </w:pPr>
    </w:p>
    <w:p w14:paraId="70C67028" w14:textId="77777777" w:rsidR="0079737F" w:rsidRPr="008D1FB2" w:rsidRDefault="0079737F" w:rsidP="0079737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Medicinal Chemistry Core</w:t>
      </w:r>
      <w:r w:rsidRPr="008D1FB2">
        <w:rPr>
          <w:rFonts w:ascii="Arial" w:hAnsi="Arial" w:cs="Arial"/>
          <w:b/>
          <w:bCs/>
          <w:sz w:val="22"/>
          <w:szCs w:val="22"/>
        </w:rPr>
        <w:t xml:space="preserve"> Resources </w:t>
      </w:r>
    </w:p>
    <w:p w14:paraId="07C993EA" w14:textId="77777777" w:rsidR="0079737F" w:rsidRPr="008D1FB2" w:rsidRDefault="0079737F" w:rsidP="0079737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3C2257" w14:textId="77777777" w:rsidR="0079737F" w:rsidRPr="008D1FB2" w:rsidRDefault="0079737F" w:rsidP="0079737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Laboratory and Equipment S</w:t>
      </w:r>
      <w:r w:rsidRPr="008D1FB2">
        <w:rPr>
          <w:rFonts w:ascii="Arial" w:hAnsi="Arial" w:cs="Arial"/>
          <w:b/>
          <w:bCs/>
          <w:sz w:val="20"/>
          <w:szCs w:val="20"/>
        </w:rPr>
        <w:t xml:space="preserve">upported </w:t>
      </w:r>
    </w:p>
    <w:p w14:paraId="2CFE557F" w14:textId="77777777" w:rsidR="0079737F" w:rsidRDefault="0079737F" w:rsidP="00797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053498">
        <w:rPr>
          <w:rFonts w:ascii="Arial" w:hAnsi="Arial"/>
          <w:b/>
          <w:bCs/>
          <w:sz w:val="20"/>
          <w:szCs w:val="20"/>
        </w:rPr>
        <w:t xml:space="preserve">Laboratory: </w:t>
      </w:r>
      <w:r w:rsidRPr="00053498">
        <w:rPr>
          <w:rFonts w:ascii="Arial" w:hAnsi="Arial"/>
          <w:sz w:val="20"/>
          <w:szCs w:val="20"/>
        </w:rPr>
        <w:t xml:space="preserve">Research will be conducted in 979 square feet of laboratory space with adjacent solvent storage and preparative HPLC space in the Life Sciences Building at </w:t>
      </w:r>
      <w:r w:rsidRPr="00053498">
        <w:rPr>
          <w:rFonts w:ascii="Arial" w:hAnsi="Arial"/>
          <w:sz w:val="20"/>
          <w:szCs w:val="20"/>
          <w:shd w:val="clear" w:color="auto" w:fill="FFFFFF"/>
        </w:rPr>
        <w:t>1355 Bogue Street - East Lansing</w:t>
      </w:r>
      <w:r w:rsidRPr="00053498">
        <w:rPr>
          <w:rFonts w:ascii="Arial" w:hAnsi="Arial"/>
          <w:sz w:val="20"/>
          <w:szCs w:val="20"/>
        </w:rPr>
        <w:t>. The laboratory has fume hoods for synthes</w:t>
      </w:r>
      <w:r w:rsidR="00D32A42">
        <w:rPr>
          <w:rFonts w:ascii="Arial" w:hAnsi="Arial"/>
          <w:sz w:val="20"/>
          <w:szCs w:val="20"/>
        </w:rPr>
        <w:t>is and chromatography for five to</w:t>
      </w:r>
      <w:r w:rsidRPr="00053498">
        <w:rPr>
          <w:rFonts w:ascii="Arial" w:hAnsi="Arial"/>
          <w:sz w:val="20"/>
          <w:szCs w:val="20"/>
        </w:rPr>
        <w:t xml:space="preserve"> seven associates or students. </w:t>
      </w:r>
    </w:p>
    <w:p w14:paraId="3422C693" w14:textId="77777777" w:rsidR="00D15A80" w:rsidRPr="00D15A80" w:rsidRDefault="00D15A80" w:rsidP="00797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proofErr w:type="spellStart"/>
      <w:r w:rsidRPr="00D15A80">
        <w:rPr>
          <w:rFonts w:ascii="Arial" w:hAnsi="Arial"/>
          <w:bCs/>
          <w:sz w:val="20"/>
          <w:szCs w:val="20"/>
        </w:rPr>
        <w:t>Advion</w:t>
      </w:r>
      <w:proofErr w:type="spellEnd"/>
      <w:r w:rsidRPr="00D15A80">
        <w:rPr>
          <w:rFonts w:ascii="Arial" w:hAnsi="Arial"/>
          <w:bCs/>
          <w:sz w:val="20"/>
          <w:szCs w:val="20"/>
        </w:rPr>
        <w:t xml:space="preserve"> LC/MS</w:t>
      </w:r>
    </w:p>
    <w:p w14:paraId="3528BC49" w14:textId="77777777" w:rsidR="0079737F" w:rsidRPr="00053498" w:rsidRDefault="00D32A42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</w:t>
      </w:r>
      <w:r w:rsidR="0079737F" w:rsidRPr="00053498">
        <w:rPr>
          <w:rFonts w:ascii="Arial" w:hAnsi="Arial" w:cs="Arial"/>
          <w:sz w:val="20"/>
          <w:szCs w:val="20"/>
        </w:rPr>
        <w:t>Medium pressure preparative chromatography (</w:t>
      </w:r>
      <w:proofErr w:type="spellStart"/>
      <w:r w:rsidR="0079737F" w:rsidRPr="00053498">
        <w:rPr>
          <w:rFonts w:ascii="Arial" w:hAnsi="Arial" w:cs="Arial"/>
          <w:sz w:val="20"/>
          <w:szCs w:val="20"/>
        </w:rPr>
        <w:t>Isco</w:t>
      </w:r>
      <w:proofErr w:type="spellEnd"/>
      <w:r w:rsidR="0079737F" w:rsidRPr="000534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737F" w:rsidRPr="00053498">
        <w:rPr>
          <w:rFonts w:ascii="Arial" w:hAnsi="Arial" w:cs="Arial"/>
          <w:sz w:val="20"/>
          <w:szCs w:val="20"/>
        </w:rPr>
        <w:t>CombiFl</w:t>
      </w:r>
      <w:r w:rsidR="0079737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sh</w:t>
      </w:r>
      <w:proofErr w:type="spellEnd"/>
      <w:r>
        <w:rPr>
          <w:rFonts w:ascii="Arial" w:hAnsi="Arial" w:cs="Arial"/>
          <w:sz w:val="20"/>
          <w:szCs w:val="20"/>
        </w:rPr>
        <w:t>) – normal and reverse phase</w:t>
      </w:r>
    </w:p>
    <w:p w14:paraId="76CC0FE9" w14:textId="77777777" w:rsidR="0079737F" w:rsidRPr="00053498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53498">
        <w:rPr>
          <w:rFonts w:ascii="Arial" w:hAnsi="Arial" w:cs="Arial"/>
          <w:sz w:val="20"/>
          <w:szCs w:val="20"/>
        </w:rPr>
        <w:t xml:space="preserve">Two </w:t>
      </w:r>
      <w:proofErr w:type="spellStart"/>
      <w:r w:rsidRPr="00053498">
        <w:rPr>
          <w:rFonts w:ascii="Arial" w:hAnsi="Arial" w:cs="Arial"/>
          <w:sz w:val="20"/>
          <w:szCs w:val="20"/>
        </w:rPr>
        <w:t>Buchi</w:t>
      </w:r>
      <w:proofErr w:type="spellEnd"/>
      <w:r w:rsidRPr="00053498">
        <w:rPr>
          <w:rFonts w:ascii="Arial" w:hAnsi="Arial" w:cs="Arial"/>
          <w:sz w:val="20"/>
          <w:szCs w:val="20"/>
        </w:rPr>
        <w:t xml:space="preserve"> rotary evaporators</w:t>
      </w:r>
      <w:r>
        <w:rPr>
          <w:rFonts w:ascii="Arial" w:hAnsi="Arial" w:cs="Arial"/>
          <w:sz w:val="20"/>
          <w:szCs w:val="20"/>
        </w:rPr>
        <w:t>, associated pumps and vacuum controllers</w:t>
      </w:r>
    </w:p>
    <w:p w14:paraId="0D8B6438" w14:textId="77777777" w:rsidR="0079737F" w:rsidRPr="00053498" w:rsidRDefault="002B0368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Four</w:t>
      </w:r>
      <w:r w:rsidR="0079737F" w:rsidRPr="000534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9737F" w:rsidRPr="00053498">
        <w:rPr>
          <w:rFonts w:ascii="Arial" w:hAnsi="Arial" w:cs="Arial"/>
          <w:sz w:val="20"/>
          <w:szCs w:val="20"/>
        </w:rPr>
        <w:t>Sear</w:t>
      </w:r>
      <w:r w:rsidR="0079737F">
        <w:rPr>
          <w:rFonts w:ascii="Arial" w:hAnsi="Arial" w:cs="Arial"/>
          <w:sz w:val="20"/>
          <w:szCs w:val="20"/>
        </w:rPr>
        <w:t>gent</w:t>
      </w:r>
      <w:proofErr w:type="spellEnd"/>
      <w:r w:rsidR="0079737F">
        <w:rPr>
          <w:rFonts w:ascii="Arial" w:hAnsi="Arial" w:cs="Arial"/>
          <w:sz w:val="20"/>
          <w:szCs w:val="20"/>
        </w:rPr>
        <w:t>-Welch high vacuum pumps</w:t>
      </w:r>
      <w:r w:rsidR="00D32A42">
        <w:rPr>
          <w:rFonts w:ascii="Arial" w:hAnsi="Arial" w:cs="Arial"/>
          <w:sz w:val="20"/>
          <w:szCs w:val="20"/>
        </w:rPr>
        <w:t xml:space="preserve"> and three medium vacuum pumps</w:t>
      </w:r>
      <w:r w:rsidR="0079737F" w:rsidRPr="00053498">
        <w:rPr>
          <w:rFonts w:ascii="Arial" w:hAnsi="Arial" w:cs="Arial"/>
          <w:sz w:val="20"/>
          <w:szCs w:val="20"/>
        </w:rPr>
        <w:t xml:space="preserve"> </w:t>
      </w:r>
    </w:p>
    <w:p w14:paraId="37907483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053498">
        <w:rPr>
          <w:rFonts w:ascii="Arial" w:hAnsi="Arial" w:cs="Arial"/>
          <w:sz w:val="20"/>
          <w:szCs w:val="20"/>
        </w:rPr>
        <w:t xml:space="preserve"> temperature </w:t>
      </w:r>
      <w:r>
        <w:rPr>
          <w:rFonts w:ascii="Arial" w:hAnsi="Arial" w:cs="Arial"/>
          <w:sz w:val="20"/>
          <w:szCs w:val="20"/>
        </w:rPr>
        <w:t>controllers/stirrers; one</w:t>
      </w:r>
      <w:r w:rsidRPr="00053498">
        <w:rPr>
          <w:rFonts w:ascii="Arial" w:hAnsi="Arial" w:cs="Arial"/>
          <w:sz w:val="20"/>
          <w:szCs w:val="20"/>
        </w:rPr>
        <w:t xml:space="preserve"> orbital stirrer</w:t>
      </w:r>
      <w:r>
        <w:rPr>
          <w:rFonts w:ascii="Arial" w:hAnsi="Arial" w:cs="Arial"/>
          <w:sz w:val="20"/>
          <w:szCs w:val="20"/>
        </w:rPr>
        <w:t>; three</w:t>
      </w:r>
      <w:r w:rsidRPr="00053498">
        <w:rPr>
          <w:rFonts w:ascii="Arial" w:hAnsi="Arial" w:cs="Arial"/>
          <w:sz w:val="20"/>
          <w:szCs w:val="20"/>
        </w:rPr>
        <w:t xml:space="preserve"> stirrers</w:t>
      </w:r>
    </w:p>
    <w:p w14:paraId="3BD299F6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Labconco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Lyophilzer</w:t>
      </w:r>
      <w:proofErr w:type="spellEnd"/>
    </w:p>
    <w:p w14:paraId="19693A14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Speed Vac evaporator</w:t>
      </w:r>
    </w:p>
    <w:p w14:paraId="74E5BE38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 HPLC</w:t>
      </w:r>
      <w:r w:rsidRPr="0079737F">
        <w:t xml:space="preserve"> </w:t>
      </w:r>
      <w:r>
        <w:rPr>
          <w:rFonts w:ascii="Arial" w:hAnsi="Arial" w:cs="Arial"/>
          <w:sz w:val="20"/>
          <w:szCs w:val="20"/>
        </w:rPr>
        <w:t>600 delta</w:t>
      </w:r>
      <w:r w:rsidRPr="0079737F">
        <w:rPr>
          <w:rFonts w:ascii="Arial" w:hAnsi="Arial" w:cs="Arial"/>
          <w:sz w:val="20"/>
          <w:szCs w:val="20"/>
        </w:rPr>
        <w:t xml:space="preserve"> </w:t>
      </w:r>
    </w:p>
    <w:p w14:paraId="2CBF69F3" w14:textId="77777777" w:rsidR="0079737F" w:rsidRDefault="00D32A42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 HPLC</w:t>
      </w:r>
      <w:r w:rsidRPr="0079737F">
        <w:rPr>
          <w:rFonts w:ascii="Arial" w:hAnsi="Arial" w:cs="Arial"/>
          <w:sz w:val="20"/>
          <w:szCs w:val="20"/>
        </w:rPr>
        <w:t xml:space="preserve"> LC </w:t>
      </w:r>
      <w:r>
        <w:rPr>
          <w:rFonts w:ascii="Arial" w:hAnsi="Arial" w:cs="Arial"/>
          <w:sz w:val="20"/>
          <w:szCs w:val="20"/>
        </w:rPr>
        <w:t>(</w:t>
      </w:r>
      <w:r w:rsidRPr="0079737F">
        <w:rPr>
          <w:rFonts w:ascii="Arial" w:hAnsi="Arial" w:cs="Arial"/>
          <w:sz w:val="20"/>
          <w:szCs w:val="20"/>
        </w:rPr>
        <w:t>module I plus) with an autosampler</w:t>
      </w:r>
    </w:p>
    <w:p w14:paraId="46504FA4" w14:textId="77777777" w:rsidR="00D32A42" w:rsidRDefault="00D32A42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32A42">
        <w:rPr>
          <w:rFonts w:ascii="Arial" w:hAnsi="Arial" w:cs="Arial"/>
          <w:sz w:val="20"/>
          <w:szCs w:val="20"/>
        </w:rPr>
        <w:t>emipreparative HPLC (</w:t>
      </w:r>
      <w:proofErr w:type="spellStart"/>
      <w:r w:rsidRPr="00D32A42">
        <w:rPr>
          <w:rFonts w:ascii="Arial" w:hAnsi="Arial" w:cs="Arial"/>
          <w:sz w:val="20"/>
          <w:szCs w:val="20"/>
        </w:rPr>
        <w:t>Isco</w:t>
      </w:r>
      <w:proofErr w:type="spellEnd"/>
      <w:r w:rsidRPr="00D32A42">
        <w:rPr>
          <w:rFonts w:ascii="Arial" w:hAnsi="Arial" w:cs="Arial"/>
          <w:sz w:val="20"/>
          <w:szCs w:val="20"/>
        </w:rPr>
        <w:t>) – normal and reverse ph</w:t>
      </w:r>
      <w:r>
        <w:rPr>
          <w:rFonts w:ascii="Arial" w:hAnsi="Arial" w:cs="Arial"/>
          <w:sz w:val="20"/>
          <w:szCs w:val="20"/>
        </w:rPr>
        <w:t>ase.</w:t>
      </w:r>
    </w:p>
    <w:p w14:paraId="120C218B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Anton </w:t>
      </w:r>
      <w:proofErr w:type="spellStart"/>
      <w:r>
        <w:rPr>
          <w:rFonts w:ascii="Arial" w:hAnsi="Arial" w:cs="Arial"/>
          <w:sz w:val="20"/>
          <w:szCs w:val="20"/>
        </w:rPr>
        <w:t>Paar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Monowave</w:t>
      </w:r>
      <w:proofErr w:type="spellEnd"/>
      <w:r>
        <w:rPr>
          <w:rFonts w:ascii="Arial" w:hAnsi="Arial" w:cs="Arial"/>
          <w:sz w:val="20"/>
          <w:szCs w:val="20"/>
        </w:rPr>
        <w:t xml:space="preserve"> reaction microwave</w:t>
      </w:r>
    </w:p>
    <w:p w14:paraId="766F989A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Isotemp</w:t>
      </w:r>
      <w:proofErr w:type="spellEnd"/>
      <w:r>
        <w:rPr>
          <w:rFonts w:ascii="Arial" w:hAnsi="Arial" w:cs="Arial"/>
          <w:sz w:val="20"/>
          <w:szCs w:val="20"/>
        </w:rPr>
        <w:t xml:space="preserve"> vacuum oven</w:t>
      </w:r>
    </w:p>
    <w:p w14:paraId="323E343F" w14:textId="77777777" w:rsidR="0079737F" w:rsidRDefault="00D32A42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="0079737F">
        <w:rPr>
          <w:rFonts w:ascii="Arial" w:hAnsi="Arial" w:cs="Arial"/>
          <w:sz w:val="20"/>
          <w:szCs w:val="20"/>
        </w:rPr>
        <w:t xml:space="preserve"> Mettler- Toledo analytical balances</w:t>
      </w:r>
    </w:p>
    <w:p w14:paraId="176728BC" w14:textId="77777777" w:rsidR="0079737F" w:rsidRPr="00053498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oven</w:t>
      </w:r>
    </w:p>
    <w:p w14:paraId="6B927196" w14:textId="77777777" w:rsidR="0079737F" w:rsidRDefault="0079737F" w:rsidP="0079737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  <w:r w:rsidRPr="00053498">
        <w:rPr>
          <w:rFonts w:ascii="Arial" w:hAnsi="Arial"/>
          <w:sz w:val="20"/>
          <w:szCs w:val="20"/>
        </w:rPr>
        <w:t xml:space="preserve">The laboratory is equipped with all standard glassware and hardware required for running synthetic reactions and the purification of analogs. </w:t>
      </w:r>
    </w:p>
    <w:p w14:paraId="6C1C77A8" w14:textId="77777777" w:rsidR="0079737F" w:rsidRPr="00A86850" w:rsidRDefault="0079737F" w:rsidP="0079737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</w:rPr>
      </w:pPr>
      <w:r w:rsidRPr="00A86850">
        <w:rPr>
          <w:rFonts w:ascii="Arial" w:hAnsi="Arial"/>
          <w:b/>
          <w:sz w:val="20"/>
          <w:szCs w:val="20"/>
        </w:rPr>
        <w:t>Technologies Supported</w:t>
      </w:r>
    </w:p>
    <w:p w14:paraId="1B276517" w14:textId="77777777" w:rsidR="0079737F" w:rsidRDefault="0079737F" w:rsidP="0079737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Traditional organic synthesis (mg to 100 g scale)</w:t>
      </w:r>
    </w:p>
    <w:p w14:paraId="515DDCF9" w14:textId="77777777" w:rsidR="0079737F" w:rsidRDefault="0079737F" w:rsidP="0079737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Peptide Synthesis</w:t>
      </w:r>
    </w:p>
    <w:p w14:paraId="18F33073" w14:textId="77777777" w:rsidR="0079737F" w:rsidRDefault="0079737F" w:rsidP="0079737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Parallel Medicinal Chemistry Methods</w:t>
      </w:r>
    </w:p>
    <w:p w14:paraId="44966626" w14:textId="77777777" w:rsidR="000D2CE7" w:rsidRDefault="000D2CE7" w:rsidP="0079737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Microsomal Stability and Kinetic Solubility </w:t>
      </w:r>
    </w:p>
    <w:p w14:paraId="58D98663" w14:textId="77777777" w:rsidR="0079737F" w:rsidRPr="00A86850" w:rsidRDefault="0079737F" w:rsidP="0079737F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sz w:val="20"/>
          <w:szCs w:val="20"/>
        </w:rPr>
      </w:pPr>
    </w:p>
    <w:p w14:paraId="2C0561DA" w14:textId="77777777" w:rsidR="0079737F" w:rsidRPr="008D1FB2" w:rsidRDefault="0079737F" w:rsidP="0079737F">
      <w:pPr>
        <w:pStyle w:val="Default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b/>
          <w:bCs/>
          <w:sz w:val="20"/>
          <w:szCs w:val="20"/>
        </w:rPr>
        <w:t xml:space="preserve">Compound Libraries </w:t>
      </w:r>
      <w:r>
        <w:rPr>
          <w:rFonts w:ascii="Arial" w:hAnsi="Arial" w:cs="Arial"/>
          <w:b/>
          <w:bCs/>
          <w:sz w:val="20"/>
          <w:szCs w:val="20"/>
        </w:rPr>
        <w:t>(~35,000 compounds)</w:t>
      </w:r>
    </w:p>
    <w:p w14:paraId="6587B286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4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sz w:val="20"/>
          <w:szCs w:val="20"/>
        </w:rPr>
        <w:t>LOPAC (1,280)</w:t>
      </w:r>
      <w:r>
        <w:rPr>
          <w:rFonts w:ascii="Arial" w:hAnsi="Arial" w:cs="Arial"/>
          <w:sz w:val="20"/>
          <w:szCs w:val="20"/>
        </w:rPr>
        <w:t xml:space="preserve"> </w:t>
      </w:r>
      <w:r w:rsidRPr="008D1FB2">
        <w:rPr>
          <w:rFonts w:ascii="Arial" w:hAnsi="Arial" w:cs="Arial"/>
          <w:sz w:val="20"/>
          <w:szCs w:val="20"/>
        </w:rPr>
        <w:t xml:space="preserve">– Library of pharmacological active compounds </w:t>
      </w:r>
    </w:p>
    <w:p w14:paraId="21D89FB7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4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sz w:val="20"/>
          <w:szCs w:val="20"/>
        </w:rPr>
        <w:t xml:space="preserve">Prestwick Chemical Library (1,280) – 100% approved drugs (FDA, EMA and other agencies) </w:t>
      </w:r>
    </w:p>
    <w:p w14:paraId="0E73EB94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4"/>
        <w:rPr>
          <w:rFonts w:ascii="Arial" w:hAnsi="Arial" w:cs="Arial"/>
          <w:sz w:val="20"/>
          <w:szCs w:val="20"/>
        </w:rPr>
      </w:pPr>
      <w:proofErr w:type="spellStart"/>
      <w:r w:rsidRPr="008D1FB2">
        <w:rPr>
          <w:rFonts w:ascii="Arial" w:hAnsi="Arial" w:cs="Arial"/>
          <w:sz w:val="20"/>
          <w:szCs w:val="20"/>
        </w:rPr>
        <w:t>MicroSource</w:t>
      </w:r>
      <w:proofErr w:type="spellEnd"/>
      <w:r w:rsidRPr="008D1FB2">
        <w:rPr>
          <w:rFonts w:ascii="Arial" w:hAnsi="Arial" w:cs="Arial"/>
          <w:sz w:val="20"/>
          <w:szCs w:val="20"/>
        </w:rPr>
        <w:t xml:space="preserve"> Spectrum Collection (2,320) – FDA-approved drugs, </w:t>
      </w:r>
      <w:proofErr w:type="spellStart"/>
      <w:r w:rsidRPr="008D1FB2">
        <w:rPr>
          <w:rFonts w:ascii="Arial" w:hAnsi="Arial" w:cs="Arial"/>
          <w:sz w:val="20"/>
          <w:szCs w:val="20"/>
        </w:rPr>
        <w:t>bioactives</w:t>
      </w:r>
      <w:proofErr w:type="spellEnd"/>
      <w:r w:rsidRPr="008D1FB2">
        <w:rPr>
          <w:rFonts w:ascii="Arial" w:hAnsi="Arial" w:cs="Arial"/>
          <w:sz w:val="20"/>
          <w:szCs w:val="20"/>
        </w:rPr>
        <w:t xml:space="preserve">, and natural products </w:t>
      </w:r>
    </w:p>
    <w:p w14:paraId="102133CE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4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sz w:val="20"/>
          <w:szCs w:val="20"/>
        </w:rPr>
        <w:t xml:space="preserve">GSK Published Kinase Inhibitor Set (558) – &gt;30 kinase inhibitor chemotypes annotated for protein kinase family activity </w:t>
      </w:r>
    </w:p>
    <w:p w14:paraId="64CD31A9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4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sz w:val="20"/>
          <w:szCs w:val="20"/>
        </w:rPr>
        <w:t xml:space="preserve">NCI/DTP Approved Oncology Drugs (114), Diversity Set (1,596), and Mechanistic Set (816) </w:t>
      </w:r>
    </w:p>
    <w:p w14:paraId="2EF719B4" w14:textId="77777777" w:rsidR="0079737F" w:rsidRPr="008D1FB2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8D1FB2">
        <w:rPr>
          <w:rFonts w:ascii="Arial" w:hAnsi="Arial" w:cs="Arial"/>
          <w:sz w:val="20"/>
          <w:szCs w:val="20"/>
        </w:rPr>
        <w:t>Maybridge</w:t>
      </w:r>
      <w:proofErr w:type="spellEnd"/>
      <w:r w:rsidRPr="008D1FB2">
        <w:rPr>
          <w:rFonts w:ascii="Arial" w:hAnsi="Arial" w:cs="Arial"/>
          <w:sz w:val="20"/>
          <w:szCs w:val="20"/>
        </w:rPr>
        <w:t xml:space="preserve"> Diversity Collection (25,000) </w:t>
      </w:r>
    </w:p>
    <w:p w14:paraId="58A1EB27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MSU Department of </w:t>
      </w:r>
      <w:proofErr w:type="spellStart"/>
      <w:r>
        <w:rPr>
          <w:rFonts w:ascii="Arial" w:hAnsi="Arial" w:cs="Arial"/>
          <w:sz w:val="20"/>
          <w:szCs w:val="20"/>
        </w:rPr>
        <w:t>Chemsitry</w:t>
      </w:r>
      <w:proofErr w:type="spellEnd"/>
      <w:r>
        <w:rPr>
          <w:rFonts w:ascii="Arial" w:hAnsi="Arial" w:cs="Arial"/>
          <w:sz w:val="20"/>
          <w:szCs w:val="20"/>
        </w:rPr>
        <w:t xml:space="preserve"> Library (~500)</w:t>
      </w:r>
    </w:p>
    <w:p w14:paraId="56C70C10" w14:textId="77777777" w:rsidR="0079737F" w:rsidRPr="008D1FB2" w:rsidRDefault="0079737F" w:rsidP="0079737F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2D2693EF" w14:textId="77777777" w:rsidR="0079737F" w:rsidRPr="008D1FB2" w:rsidRDefault="0079737F" w:rsidP="0079737F">
      <w:pPr>
        <w:pStyle w:val="Default"/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b/>
          <w:bCs/>
          <w:sz w:val="20"/>
          <w:szCs w:val="20"/>
        </w:rPr>
        <w:t xml:space="preserve">Computational Resources </w:t>
      </w:r>
    </w:p>
    <w:p w14:paraId="3C0614A9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7"/>
        <w:rPr>
          <w:rFonts w:ascii="Arial" w:hAnsi="Arial" w:cs="Arial"/>
          <w:sz w:val="20"/>
          <w:szCs w:val="20"/>
        </w:rPr>
      </w:pPr>
      <w:proofErr w:type="spellStart"/>
      <w:r w:rsidRPr="008D1FB2">
        <w:rPr>
          <w:rFonts w:ascii="Arial" w:hAnsi="Arial" w:cs="Arial"/>
          <w:sz w:val="20"/>
          <w:szCs w:val="20"/>
        </w:rPr>
        <w:lastRenderedPageBreak/>
        <w:t>GreenScreen</w:t>
      </w:r>
      <w:proofErr w:type="spellEnd"/>
      <w:r w:rsidRPr="008D1FB2">
        <w:rPr>
          <w:rFonts w:ascii="Arial" w:hAnsi="Arial" w:cs="Arial"/>
          <w:sz w:val="20"/>
          <w:szCs w:val="20"/>
        </w:rPr>
        <w:t xml:space="preserve"> – Secure, web-enabled, compound and HTS data management resource </w:t>
      </w:r>
    </w:p>
    <w:p w14:paraId="50537342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7"/>
        <w:rPr>
          <w:rFonts w:ascii="Arial" w:hAnsi="Arial" w:cs="Arial"/>
          <w:sz w:val="20"/>
          <w:szCs w:val="20"/>
        </w:rPr>
      </w:pPr>
      <w:proofErr w:type="spellStart"/>
      <w:r w:rsidRPr="008D1FB2">
        <w:rPr>
          <w:rFonts w:ascii="Arial" w:hAnsi="Arial" w:cs="Arial"/>
          <w:sz w:val="20"/>
          <w:szCs w:val="20"/>
        </w:rPr>
        <w:t>Scifinder</w:t>
      </w:r>
      <w:proofErr w:type="spellEnd"/>
      <w:r w:rsidRPr="008D1FB2">
        <w:rPr>
          <w:rFonts w:ascii="Arial" w:hAnsi="Arial" w:cs="Arial"/>
          <w:sz w:val="20"/>
          <w:szCs w:val="20"/>
        </w:rPr>
        <w:t xml:space="preserve"> – Compound and patent search (site license) </w:t>
      </w:r>
    </w:p>
    <w:p w14:paraId="2C7978FA" w14:textId="77777777" w:rsidR="0079737F" w:rsidRPr="008D1FB2" w:rsidRDefault="0079737F" w:rsidP="0079737F">
      <w:pPr>
        <w:pStyle w:val="Default"/>
        <w:numPr>
          <w:ilvl w:val="0"/>
          <w:numId w:val="8"/>
        </w:numPr>
        <w:spacing w:after="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 Axon – structure-based modeling, c</w:t>
      </w:r>
      <w:r w:rsidRPr="008D1FB2">
        <w:rPr>
          <w:rFonts w:ascii="Arial" w:hAnsi="Arial" w:cs="Arial"/>
          <w:sz w:val="20"/>
          <w:szCs w:val="20"/>
        </w:rPr>
        <w:t xml:space="preserve">hemical properties and structure clustering </w:t>
      </w:r>
    </w:p>
    <w:p w14:paraId="4B22EC08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D1FB2">
        <w:rPr>
          <w:rFonts w:ascii="Arial" w:hAnsi="Arial" w:cs="Arial"/>
          <w:sz w:val="20"/>
          <w:szCs w:val="20"/>
        </w:rPr>
        <w:t>Data Warrior – Cheminformatics program for data visualization and analysis</w:t>
      </w:r>
    </w:p>
    <w:p w14:paraId="15C5C740" w14:textId="77777777" w:rsidR="0079737F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 15 data bases</w:t>
      </w:r>
      <w:r w:rsidRPr="008D1FB2">
        <w:rPr>
          <w:rFonts w:ascii="Arial" w:hAnsi="Arial" w:cs="Arial"/>
          <w:sz w:val="20"/>
          <w:szCs w:val="20"/>
        </w:rPr>
        <w:t xml:space="preserve"> </w:t>
      </w:r>
    </w:p>
    <w:p w14:paraId="5F799BA5" w14:textId="77777777" w:rsidR="0079737F" w:rsidRPr="008D1FB2" w:rsidRDefault="0079737F" w:rsidP="0079737F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Chemdraw</w:t>
      </w:r>
      <w:proofErr w:type="spellEnd"/>
    </w:p>
    <w:p w14:paraId="5754E806" w14:textId="77777777" w:rsidR="008D1FB2" w:rsidRPr="008D1FB2" w:rsidRDefault="008D1FB2" w:rsidP="0079737F">
      <w:pPr>
        <w:pStyle w:val="Default"/>
        <w:rPr>
          <w:rFonts w:ascii="Arial" w:hAnsi="Arial" w:cs="Arial"/>
          <w:sz w:val="20"/>
          <w:szCs w:val="20"/>
        </w:rPr>
      </w:pPr>
    </w:p>
    <w:sectPr w:rsidR="008D1FB2" w:rsidRPr="008D1FB2" w:rsidSect="009F62A3">
      <w:headerReference w:type="first" r:id="rId8"/>
      <w:footerReference w:type="first" r:id="rId9"/>
      <w:pgSz w:w="12240" w:h="15840" w:code="1"/>
      <w:pgMar w:top="1800" w:right="1800" w:bottom="1440" w:left="25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193" w14:textId="77777777" w:rsidR="005936A6" w:rsidRDefault="005936A6" w:rsidP="00CD24C7">
      <w:pPr>
        <w:spacing w:after="0"/>
      </w:pPr>
      <w:r>
        <w:separator/>
      </w:r>
    </w:p>
  </w:endnote>
  <w:endnote w:type="continuationSeparator" w:id="0">
    <w:p w14:paraId="1B06391C" w14:textId="77777777" w:rsidR="005936A6" w:rsidRDefault="005936A6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422" w14:textId="77777777" w:rsidR="00DF3202" w:rsidRDefault="007110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F1A91E" wp14:editId="3FF1CCCC">
          <wp:simplePos x="0" y="0"/>
          <wp:positionH relativeFrom="page">
            <wp:posOffset>402590</wp:posOffset>
          </wp:positionH>
          <wp:positionV relativeFrom="page">
            <wp:posOffset>9603740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F403" w14:textId="77777777" w:rsidR="005936A6" w:rsidRDefault="005936A6" w:rsidP="00CD24C7">
      <w:pPr>
        <w:spacing w:after="0"/>
      </w:pPr>
      <w:r>
        <w:separator/>
      </w:r>
    </w:p>
  </w:footnote>
  <w:footnote w:type="continuationSeparator" w:id="0">
    <w:p w14:paraId="0D74F6CC" w14:textId="77777777" w:rsidR="005936A6" w:rsidRDefault="005936A6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9C4" w14:textId="77777777" w:rsidR="00DF3202" w:rsidRDefault="00711056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EAB222D" wp14:editId="464AE1A1">
          <wp:simplePos x="0" y="0"/>
          <wp:positionH relativeFrom="column">
            <wp:posOffset>-1028065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1BEA9B1" wp14:editId="4A80BAB9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6350" b="889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78839BA" wp14:editId="501B6B56">
              <wp:simplePos x="0" y="0"/>
              <wp:positionH relativeFrom="page">
                <wp:posOffset>219710</wp:posOffset>
              </wp:positionH>
              <wp:positionV relativeFrom="page">
                <wp:posOffset>5870575</wp:posOffset>
              </wp:positionV>
              <wp:extent cx="1143000" cy="3014345"/>
              <wp:effectExtent l="0" t="0" r="0" b="14605"/>
              <wp:wrapTight wrapText="bothSides">
                <wp:wrapPolygon edited="0">
                  <wp:start x="0" y="0"/>
                  <wp:lineTo x="0" y="21568"/>
                  <wp:lineTo x="21240" y="21568"/>
                  <wp:lineTo x="21240" y="0"/>
                  <wp:lineTo x="0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01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A9357" w14:textId="77777777" w:rsidR="00DF3202" w:rsidRPr="001F601A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bCs/>
                              <w:color w:val="000000"/>
                              <w:spacing w:val="1"/>
                            </w:rPr>
                            <w:t>Department of Pharmacology &amp; Toxicology</w:t>
                          </w:r>
                        </w:p>
                        <w:p w14:paraId="5A03334A" w14:textId="77777777" w:rsidR="00DF3202" w:rsidRPr="001F601A" w:rsidRDefault="00DF3202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pacing w:val="1"/>
                              <w:sz w:val="24"/>
                              <w:szCs w:val="24"/>
                            </w:rPr>
                          </w:pPr>
                        </w:p>
                        <w:p w14:paraId="47D3910C" w14:textId="77777777" w:rsidR="00711056" w:rsidRPr="00711056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711056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Michigan State University</w:t>
                          </w:r>
                        </w:p>
                        <w:p w14:paraId="1A705A2B" w14:textId="77777777" w:rsidR="00711056" w:rsidRPr="00711056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711056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1355 Bogue Street</w:t>
                          </w:r>
                        </w:p>
                        <w:p w14:paraId="633FF12C" w14:textId="77777777" w:rsidR="00711056" w:rsidRPr="00711056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711056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B440 Life Sciences Building</w:t>
                          </w:r>
                        </w:p>
                        <w:p w14:paraId="2713FEC0" w14:textId="77777777" w:rsidR="00DF3202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</w:pPr>
                          <w:r w:rsidRPr="00711056">
                            <w:rPr>
                              <w:rFonts w:ascii="Myriad Pro" w:hAnsi="Myriad Pro"/>
                              <w:color w:val="000000"/>
                              <w:sz w:val="14"/>
                              <w:szCs w:val="14"/>
                            </w:rPr>
                            <w:t>East Lansing, MI 48824</w:t>
                          </w:r>
                        </w:p>
                        <w:p w14:paraId="4520D674" w14:textId="77777777" w:rsidR="00711056" w:rsidRPr="001F601A" w:rsidRDefault="00711056" w:rsidP="00711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44"/>
                            <w:contextualSpacing/>
                            <w:jc w:val="right"/>
                            <w:textAlignment w:val="center"/>
                            <w:rPr>
                              <w:rFonts w:ascii="Myriad Pro" w:hAnsi="Myriad Pro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17CFFDA7" w14:textId="77777777" w:rsidR="00711056" w:rsidRDefault="00711056" w:rsidP="00711056">
                          <w:pPr>
                            <w:spacing w:after="0"/>
                            <w:ind w:right="144"/>
                            <w:jc w:val="right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Phone: 517-353-7145</w:t>
                          </w:r>
                        </w:p>
                        <w:p w14:paraId="2142BD85" w14:textId="77777777" w:rsidR="00711056" w:rsidRDefault="00711056" w:rsidP="00711056">
                          <w:pPr>
                            <w:spacing w:after="0"/>
                            <w:ind w:right="144"/>
                            <w:jc w:val="right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Fax: 517-353-8915</w:t>
                          </w:r>
                        </w:p>
                        <w:p w14:paraId="186D6698" w14:textId="77777777" w:rsidR="00DF3202" w:rsidRPr="00711056" w:rsidRDefault="00711056" w:rsidP="00711056">
                          <w:pPr>
                            <w:spacing w:after="0"/>
                            <w:ind w:right="144"/>
                            <w:jc w:val="right"/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</w:pPr>
                          <w:r w:rsidRPr="00711056">
                            <w:rPr>
                              <w:rFonts w:ascii="Myriad Pro" w:hAnsi="Myriad Pro"/>
                              <w:color w:val="000000"/>
                              <w:spacing w:val="-4"/>
                              <w:sz w:val="14"/>
                              <w:szCs w:val="14"/>
                            </w:rPr>
                            <w:t>pharmtox@hc.msu.edu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839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.3pt;margin-top:462.25pt;width:90pt;height:2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" o:allowoverlap="f" filled="f" stroked="f">
              <v:textbox inset="0,0,0,0">
                <w:txbxContent>
                  <w:p w14:paraId="3A4A9357" w14:textId="77777777" w:rsidR="00DF3202" w:rsidRPr="001F601A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color w:val="000000"/>
                        <w:spacing w:val="1"/>
                      </w:rPr>
                      <w:t>Department of Pharmacology &amp; Toxicology</w:t>
                    </w:r>
                  </w:p>
                  <w:p w14:paraId="5A03334A" w14:textId="77777777" w:rsidR="00DF3202" w:rsidRPr="001F601A" w:rsidRDefault="00DF3202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pacing w:val="1"/>
                        <w:sz w:val="24"/>
                        <w:szCs w:val="24"/>
                      </w:rPr>
                    </w:pPr>
                  </w:p>
                  <w:p w14:paraId="47D3910C" w14:textId="77777777" w:rsidR="00711056" w:rsidRPr="00711056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711056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Michigan State University</w:t>
                    </w:r>
                  </w:p>
                  <w:p w14:paraId="1A705A2B" w14:textId="77777777" w:rsidR="00711056" w:rsidRPr="00711056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711056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1355 Bogue Street</w:t>
                    </w:r>
                  </w:p>
                  <w:p w14:paraId="633FF12C" w14:textId="77777777" w:rsidR="00711056" w:rsidRPr="00711056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711056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B440 Life Sciences Building</w:t>
                    </w:r>
                  </w:p>
                  <w:p w14:paraId="2713FEC0" w14:textId="77777777" w:rsidR="00DF3202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</w:pPr>
                    <w:r w:rsidRPr="00711056">
                      <w:rPr>
                        <w:rFonts w:ascii="Myriad Pro" w:hAnsi="Myriad Pro"/>
                        <w:color w:val="000000"/>
                        <w:sz w:val="14"/>
                        <w:szCs w:val="14"/>
                      </w:rPr>
                      <w:t>East Lansing, MI 48824</w:t>
                    </w:r>
                  </w:p>
                  <w:p w14:paraId="4520D674" w14:textId="77777777" w:rsidR="00711056" w:rsidRPr="001F601A" w:rsidRDefault="00711056" w:rsidP="00711056">
                    <w:pPr>
                      <w:autoSpaceDE w:val="0"/>
                      <w:autoSpaceDN w:val="0"/>
                      <w:adjustRightInd w:val="0"/>
                      <w:spacing w:after="0"/>
                      <w:ind w:right="144"/>
                      <w:contextualSpacing/>
                      <w:jc w:val="right"/>
                      <w:textAlignment w:val="center"/>
                      <w:rPr>
                        <w:rFonts w:ascii="Myriad Pro" w:hAnsi="Myriad Pro"/>
                        <w:color w:val="000000"/>
                        <w:sz w:val="20"/>
                        <w:szCs w:val="20"/>
                      </w:rPr>
                    </w:pPr>
                  </w:p>
                  <w:p w14:paraId="17CFFDA7" w14:textId="77777777" w:rsidR="00711056" w:rsidRDefault="00711056" w:rsidP="00711056">
                    <w:pPr>
                      <w:spacing w:after="0"/>
                      <w:ind w:right="144"/>
                      <w:jc w:val="right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Phone: 517-353-7145</w:t>
                    </w:r>
                  </w:p>
                  <w:p w14:paraId="2142BD85" w14:textId="77777777" w:rsidR="00711056" w:rsidRDefault="00711056" w:rsidP="00711056">
                    <w:pPr>
                      <w:spacing w:after="0"/>
                      <w:ind w:right="144"/>
                      <w:jc w:val="right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Fax: 517-353-8915</w:t>
                    </w:r>
                  </w:p>
                  <w:p w14:paraId="186D6698" w14:textId="77777777" w:rsidR="00DF3202" w:rsidRPr="00711056" w:rsidRDefault="00711056" w:rsidP="00711056">
                    <w:pPr>
                      <w:spacing w:after="0"/>
                      <w:ind w:right="144"/>
                      <w:jc w:val="right"/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</w:pPr>
                    <w:r w:rsidRPr="00711056">
                      <w:rPr>
                        <w:rFonts w:ascii="Myriad Pro" w:hAnsi="Myriad Pro"/>
                        <w:color w:val="000000"/>
                        <w:spacing w:val="-4"/>
                        <w:sz w:val="14"/>
                        <w:szCs w:val="14"/>
                      </w:rPr>
                      <w:t>pharmtox@hc.msu.edu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3CA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19BE"/>
    <w:multiLevelType w:val="hybridMultilevel"/>
    <w:tmpl w:val="A160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AF5B44"/>
    <w:multiLevelType w:val="hybridMultilevel"/>
    <w:tmpl w:val="3EAE25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BD68A6"/>
    <w:multiLevelType w:val="hybridMultilevel"/>
    <w:tmpl w:val="CC6E19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429F8"/>
    <w:multiLevelType w:val="hybridMultilevel"/>
    <w:tmpl w:val="8FB4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477C"/>
    <w:multiLevelType w:val="hybridMultilevel"/>
    <w:tmpl w:val="E2A8F8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54072D"/>
    <w:multiLevelType w:val="hybridMultilevel"/>
    <w:tmpl w:val="02A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92919"/>
    <w:multiLevelType w:val="hybridMultilevel"/>
    <w:tmpl w:val="2EE0D6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3E645"/>
    <w:multiLevelType w:val="hybridMultilevel"/>
    <w:tmpl w:val="4320B0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C84E56"/>
    <w:multiLevelType w:val="hybridMultilevel"/>
    <w:tmpl w:val="E1B8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D37B7"/>
    <w:multiLevelType w:val="hybridMultilevel"/>
    <w:tmpl w:val="4780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56"/>
    <w:rsid w:val="00041289"/>
    <w:rsid w:val="0004227A"/>
    <w:rsid w:val="00053498"/>
    <w:rsid w:val="00060634"/>
    <w:rsid w:val="00086087"/>
    <w:rsid w:val="000862A7"/>
    <w:rsid w:val="000875D6"/>
    <w:rsid w:val="000C4FAA"/>
    <w:rsid w:val="000D2CE7"/>
    <w:rsid w:val="000E7656"/>
    <w:rsid w:val="00120AA8"/>
    <w:rsid w:val="00160DFE"/>
    <w:rsid w:val="00166861"/>
    <w:rsid w:val="00171F36"/>
    <w:rsid w:val="001741E3"/>
    <w:rsid w:val="001748E3"/>
    <w:rsid w:val="00182256"/>
    <w:rsid w:val="001A032B"/>
    <w:rsid w:val="001C102B"/>
    <w:rsid w:val="001F601A"/>
    <w:rsid w:val="002112A1"/>
    <w:rsid w:val="002176D4"/>
    <w:rsid w:val="0026468F"/>
    <w:rsid w:val="00264AA3"/>
    <w:rsid w:val="00270ED1"/>
    <w:rsid w:val="00275174"/>
    <w:rsid w:val="002751ED"/>
    <w:rsid w:val="002B0368"/>
    <w:rsid w:val="002C0E03"/>
    <w:rsid w:val="002C4589"/>
    <w:rsid w:val="002D28B0"/>
    <w:rsid w:val="002D7EC8"/>
    <w:rsid w:val="002E61B9"/>
    <w:rsid w:val="002E66E4"/>
    <w:rsid w:val="002E7F01"/>
    <w:rsid w:val="00365A3E"/>
    <w:rsid w:val="00372190"/>
    <w:rsid w:val="00395B89"/>
    <w:rsid w:val="00396A9E"/>
    <w:rsid w:val="003A0A97"/>
    <w:rsid w:val="003A135B"/>
    <w:rsid w:val="003B0A2A"/>
    <w:rsid w:val="003D2CF6"/>
    <w:rsid w:val="003D73E4"/>
    <w:rsid w:val="003F0314"/>
    <w:rsid w:val="00403457"/>
    <w:rsid w:val="00431F99"/>
    <w:rsid w:val="00442FD3"/>
    <w:rsid w:val="00452BC0"/>
    <w:rsid w:val="00464CD8"/>
    <w:rsid w:val="00466C63"/>
    <w:rsid w:val="00497C17"/>
    <w:rsid w:val="004B074A"/>
    <w:rsid w:val="004C4DED"/>
    <w:rsid w:val="0051665A"/>
    <w:rsid w:val="005726B8"/>
    <w:rsid w:val="005819B2"/>
    <w:rsid w:val="005936A6"/>
    <w:rsid w:val="005A0A19"/>
    <w:rsid w:val="005B7554"/>
    <w:rsid w:val="005C2F1D"/>
    <w:rsid w:val="005C30FB"/>
    <w:rsid w:val="005D28F5"/>
    <w:rsid w:val="005E5A74"/>
    <w:rsid w:val="00605BC0"/>
    <w:rsid w:val="00621D58"/>
    <w:rsid w:val="00627202"/>
    <w:rsid w:val="00675290"/>
    <w:rsid w:val="006A40A5"/>
    <w:rsid w:val="006A48EE"/>
    <w:rsid w:val="006C56AA"/>
    <w:rsid w:val="006C6C36"/>
    <w:rsid w:val="006E0A6E"/>
    <w:rsid w:val="00711056"/>
    <w:rsid w:val="007120BE"/>
    <w:rsid w:val="007302A2"/>
    <w:rsid w:val="00790CEB"/>
    <w:rsid w:val="0079737F"/>
    <w:rsid w:val="007E29D9"/>
    <w:rsid w:val="008132B4"/>
    <w:rsid w:val="0082785D"/>
    <w:rsid w:val="00836257"/>
    <w:rsid w:val="008471D6"/>
    <w:rsid w:val="00872991"/>
    <w:rsid w:val="0088229F"/>
    <w:rsid w:val="008A640B"/>
    <w:rsid w:val="008B1FF7"/>
    <w:rsid w:val="008D1FB2"/>
    <w:rsid w:val="008D5E1B"/>
    <w:rsid w:val="008E70AF"/>
    <w:rsid w:val="008F785A"/>
    <w:rsid w:val="00902F74"/>
    <w:rsid w:val="0097132D"/>
    <w:rsid w:val="00972DF5"/>
    <w:rsid w:val="00985099"/>
    <w:rsid w:val="00991C6E"/>
    <w:rsid w:val="009A6756"/>
    <w:rsid w:val="009B1259"/>
    <w:rsid w:val="009C02F7"/>
    <w:rsid w:val="009D43E6"/>
    <w:rsid w:val="009E2ADA"/>
    <w:rsid w:val="009F316F"/>
    <w:rsid w:val="009F62A3"/>
    <w:rsid w:val="00A00070"/>
    <w:rsid w:val="00A0200B"/>
    <w:rsid w:val="00A11C9D"/>
    <w:rsid w:val="00A35DF5"/>
    <w:rsid w:val="00A4753F"/>
    <w:rsid w:val="00A86850"/>
    <w:rsid w:val="00AA6984"/>
    <w:rsid w:val="00AB30A7"/>
    <w:rsid w:val="00AC60BC"/>
    <w:rsid w:val="00AF52C5"/>
    <w:rsid w:val="00AF6B40"/>
    <w:rsid w:val="00B03DCB"/>
    <w:rsid w:val="00B14AC1"/>
    <w:rsid w:val="00B24938"/>
    <w:rsid w:val="00B42526"/>
    <w:rsid w:val="00B81BD5"/>
    <w:rsid w:val="00B90A6E"/>
    <w:rsid w:val="00BD19B2"/>
    <w:rsid w:val="00BD40AF"/>
    <w:rsid w:val="00BE0E27"/>
    <w:rsid w:val="00BE15A8"/>
    <w:rsid w:val="00BE42E6"/>
    <w:rsid w:val="00C16B80"/>
    <w:rsid w:val="00C41410"/>
    <w:rsid w:val="00C6292C"/>
    <w:rsid w:val="00C710C7"/>
    <w:rsid w:val="00C809DA"/>
    <w:rsid w:val="00C80CA2"/>
    <w:rsid w:val="00C85EA8"/>
    <w:rsid w:val="00CB1C6A"/>
    <w:rsid w:val="00CC7947"/>
    <w:rsid w:val="00CD24C7"/>
    <w:rsid w:val="00CD5D24"/>
    <w:rsid w:val="00CE1368"/>
    <w:rsid w:val="00D15A80"/>
    <w:rsid w:val="00D228F5"/>
    <w:rsid w:val="00D320B2"/>
    <w:rsid w:val="00D32A42"/>
    <w:rsid w:val="00D3642A"/>
    <w:rsid w:val="00D72DA3"/>
    <w:rsid w:val="00D80063"/>
    <w:rsid w:val="00D813FC"/>
    <w:rsid w:val="00DD5BAC"/>
    <w:rsid w:val="00DE5BE8"/>
    <w:rsid w:val="00DF1BC0"/>
    <w:rsid w:val="00DF3202"/>
    <w:rsid w:val="00E00F81"/>
    <w:rsid w:val="00E125BB"/>
    <w:rsid w:val="00E1284C"/>
    <w:rsid w:val="00E271AF"/>
    <w:rsid w:val="00E40A1E"/>
    <w:rsid w:val="00EA51B2"/>
    <w:rsid w:val="00EB2528"/>
    <w:rsid w:val="00EC77DA"/>
    <w:rsid w:val="00EF3A92"/>
    <w:rsid w:val="00F0031D"/>
    <w:rsid w:val="00F3343B"/>
    <w:rsid w:val="00F732A7"/>
    <w:rsid w:val="00F7354B"/>
    <w:rsid w:val="00F91ECB"/>
    <w:rsid w:val="00F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E2953"/>
  <w15:docId w15:val="{CE7E5C35-21CD-4344-AC6A-5DA9B11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5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53F"/>
    <w:rPr>
      <w:b/>
      <w:bCs/>
    </w:rPr>
  </w:style>
  <w:style w:type="paragraph" w:styleId="ListParagraph">
    <w:name w:val="List Paragraph"/>
    <w:basedOn w:val="Normal"/>
    <w:uiPriority w:val="34"/>
    <w:qFormat/>
    <w:rsid w:val="002E7F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2190"/>
    <w:rPr>
      <w:color w:val="808080"/>
    </w:rPr>
  </w:style>
  <w:style w:type="paragraph" w:customStyle="1" w:styleId="Default">
    <w:name w:val="Default"/>
    <w:rsid w:val="00D800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MSU%20Letterhead%20green%20Myriad_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A0D9-2A23-41B8-BD92-FE181C7C7265}"/>
      </w:docPartPr>
      <w:docPartBody>
        <w:p w:rsidR="003A604B" w:rsidRDefault="0007615B">
          <w:r w:rsidRPr="005E03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15B"/>
    <w:rsid w:val="0007615B"/>
    <w:rsid w:val="00121FDA"/>
    <w:rsid w:val="0018400C"/>
    <w:rsid w:val="003A604B"/>
    <w:rsid w:val="004610CF"/>
    <w:rsid w:val="0067761B"/>
    <w:rsid w:val="008D4AE0"/>
    <w:rsid w:val="009A2982"/>
    <w:rsid w:val="009A6133"/>
    <w:rsid w:val="00A50E97"/>
    <w:rsid w:val="00D61DF1"/>
    <w:rsid w:val="00E50394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E24AE-614E-4FEF-9735-53784733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C:\Users\Admin\Desktop\MSU Letterhead green Myriad_new.dot</Template>
  <TotalTime>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Nichols, Joseph</cp:lastModifiedBy>
  <cp:revision>2</cp:revision>
  <cp:lastPrinted>2012-10-04T20:47:00Z</cp:lastPrinted>
  <dcterms:created xsi:type="dcterms:W3CDTF">2021-09-15T17:10:00Z</dcterms:created>
  <dcterms:modified xsi:type="dcterms:W3CDTF">2021-09-15T17:10:00Z</dcterms:modified>
  <cp:contentStatus/>
</cp:coreProperties>
</file>